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60921">
      <w:pPr>
        <w:spacing w:line="600" w:lineRule="exact"/>
        <w:ind w:left="0"/>
        <w:jc w:val="left"/>
        <w:rPr>
          <w:rFonts w:hint="eastAsia" w:ascii="仿宋_GB2312" w:hAnsi="仿宋_GB2312" w:eastAsia="仿宋_GB2312" w:cs="仿宋_GB2312"/>
          <w:sz w:val="24"/>
        </w:rPr>
      </w:pPr>
      <w:r>
        <w:rPr>
          <w:rFonts w:hint="eastAsia" w:ascii="仿宋_GB2312" w:hAnsi="仿宋_GB2312" w:eastAsia="仿宋_GB2312" w:cs="仿宋_GB2312"/>
          <w:b/>
          <w:sz w:val="28"/>
          <w:szCs w:val="28"/>
        </w:rPr>
        <w:t>附件2-2</w:t>
      </w:r>
    </w:p>
    <w:p w14:paraId="7062DCB1">
      <w:pPr>
        <w:spacing w:line="600" w:lineRule="exact"/>
        <w:ind w:left="0"/>
        <w:jc w:val="center"/>
        <w:rPr>
          <w:rFonts w:ascii="宋体" w:hAnsi="宋体"/>
          <w:b/>
          <w:w w:val="85"/>
          <w:sz w:val="36"/>
          <w:szCs w:val="36"/>
        </w:rPr>
      </w:pPr>
      <w:r>
        <w:rPr>
          <w:rFonts w:hint="eastAsia" w:ascii="宋体" w:hAnsi="宋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米贝苗族乡学校</w:t>
      </w:r>
      <w:r>
        <w:rPr>
          <w:rFonts w:hint="eastAsia" w:ascii="宋体" w:hAnsi="宋体"/>
          <w:b/>
          <w:w w:val="85"/>
          <w:sz w:val="36"/>
          <w:szCs w:val="36"/>
          <w:lang w:val="en-US" w:eastAsia="zh-CN"/>
        </w:rPr>
        <w:t>营养改</w:t>
      </w:r>
      <w:bookmarkStart w:id="0" w:name="_GoBack"/>
      <w:bookmarkEnd w:id="0"/>
      <w:r>
        <w:rPr>
          <w:rFonts w:hint="eastAsia" w:ascii="宋体" w:hAnsi="宋体"/>
          <w:b/>
          <w:w w:val="85"/>
          <w:sz w:val="36"/>
          <w:szCs w:val="36"/>
          <w:lang w:val="en-US" w:eastAsia="zh-CN"/>
        </w:rPr>
        <w:t>造</w:t>
      </w:r>
      <w:r>
        <w:rPr>
          <w:rFonts w:hint="eastAsia" w:ascii="宋体" w:hAnsi="宋体"/>
          <w:b/>
          <w:w w:val="85"/>
          <w:sz w:val="36"/>
          <w:szCs w:val="36"/>
          <w:lang w:eastAsia="zh-CN"/>
        </w:rPr>
        <w:t>计划</w:t>
      </w:r>
      <w:r>
        <w:rPr>
          <w:rFonts w:ascii="宋体" w:hAnsi="宋体"/>
          <w:b/>
          <w:w w:val="85"/>
          <w:sz w:val="36"/>
          <w:szCs w:val="36"/>
        </w:rPr>
        <w:t>项目</w:t>
      </w:r>
    </w:p>
    <w:p w14:paraId="4BF2D552">
      <w:pPr>
        <w:spacing w:line="600" w:lineRule="exact"/>
        <w:ind w:left="0"/>
        <w:jc w:val="center"/>
        <w:rPr>
          <w:rFonts w:ascii="宋体" w:hAnsi="宋体"/>
          <w:b/>
          <w:w w:val="85"/>
          <w:sz w:val="36"/>
          <w:szCs w:val="36"/>
        </w:rPr>
      </w:pP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110836F0">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5"/>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03EE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473ABD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6CFB774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14:paraId="14570C2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14:paraId="74E3AE8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14:paraId="460C375C">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其他人员经费</w:t>
            </w:r>
          </w:p>
        </w:tc>
      </w:tr>
      <w:tr w14:paraId="126B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07A6F32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485845D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14:paraId="04458674">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新晃侗族自治县米贝苗族乡学校</w:t>
            </w:r>
          </w:p>
        </w:tc>
        <w:tc>
          <w:tcPr>
            <w:tcW w:w="1628" w:type="dxa"/>
            <w:noWrap w:val="0"/>
            <w:tcMar>
              <w:top w:w="0" w:type="dxa"/>
              <w:left w:w="105" w:type="dxa"/>
              <w:bottom w:w="0" w:type="dxa"/>
              <w:right w:w="105" w:type="dxa"/>
            </w:tcMar>
            <w:vAlign w:val="center"/>
          </w:tcPr>
          <w:p w14:paraId="79EAF64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14:paraId="1596ACF8">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黄生昱</w:t>
            </w:r>
          </w:p>
        </w:tc>
        <w:tc>
          <w:tcPr>
            <w:tcW w:w="1206" w:type="dxa"/>
            <w:noWrap w:val="0"/>
            <w:tcMar>
              <w:top w:w="0" w:type="dxa"/>
              <w:left w:w="105" w:type="dxa"/>
              <w:bottom w:w="0" w:type="dxa"/>
              <w:right w:w="105" w:type="dxa"/>
            </w:tcMar>
            <w:vAlign w:val="center"/>
          </w:tcPr>
          <w:p w14:paraId="6A3C4AD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14:paraId="606EB899">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6381007</w:t>
            </w:r>
          </w:p>
        </w:tc>
      </w:tr>
      <w:tr w14:paraId="394B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68B364C3">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181BCB2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14:paraId="09193F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14:paraId="32E46CB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14:paraId="5C9FA58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14:paraId="0867410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14:paraId="3668F57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2443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14:paraId="05AFED8A">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14:paraId="2334EF6F">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14:paraId="764DD9B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35.16</w:t>
            </w:r>
          </w:p>
        </w:tc>
        <w:tc>
          <w:tcPr>
            <w:tcW w:w="1628" w:type="dxa"/>
            <w:noWrap w:val="0"/>
            <w:tcMar>
              <w:top w:w="0" w:type="dxa"/>
              <w:left w:w="105" w:type="dxa"/>
              <w:bottom w:w="0" w:type="dxa"/>
              <w:right w:w="105" w:type="dxa"/>
            </w:tcMar>
            <w:vAlign w:val="center"/>
          </w:tcPr>
          <w:p w14:paraId="61804A86">
            <w:pPr>
              <w:spacing w:line="320" w:lineRule="exact"/>
              <w:jc w:val="center"/>
              <w:rPr>
                <w:rFonts w:hint="eastAsia" w:ascii="仿宋_GB2312" w:hAnsi="仿宋_GB2312" w:eastAsia="仿宋_GB2312" w:cs="仿宋_GB2312"/>
                <w:szCs w:val="21"/>
              </w:rPr>
            </w:pPr>
          </w:p>
        </w:tc>
        <w:tc>
          <w:tcPr>
            <w:tcW w:w="2303" w:type="dxa"/>
            <w:gridSpan w:val="2"/>
            <w:noWrap w:val="0"/>
            <w:tcMar>
              <w:top w:w="0" w:type="dxa"/>
              <w:left w:w="105" w:type="dxa"/>
              <w:bottom w:w="0" w:type="dxa"/>
              <w:right w:w="105" w:type="dxa"/>
            </w:tcMar>
            <w:vAlign w:val="center"/>
          </w:tcPr>
          <w:p w14:paraId="4E3E0C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33.61</w:t>
            </w:r>
          </w:p>
        </w:tc>
        <w:tc>
          <w:tcPr>
            <w:tcW w:w="1702" w:type="dxa"/>
            <w:gridSpan w:val="2"/>
            <w:noWrap w:val="0"/>
            <w:tcMar>
              <w:top w:w="0" w:type="dxa"/>
              <w:left w:w="105" w:type="dxa"/>
              <w:bottom w:w="0" w:type="dxa"/>
              <w:right w:w="105" w:type="dxa"/>
            </w:tcMar>
            <w:vAlign w:val="center"/>
          </w:tcPr>
          <w:p w14:paraId="236F449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95.59%</w:t>
            </w:r>
          </w:p>
        </w:tc>
      </w:tr>
      <w:tr w14:paraId="6467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2EADEF4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14:paraId="713C954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14:paraId="7253544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14:paraId="42ECD99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14:paraId="0047240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67EB6AA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191A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30D8E00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14:paraId="7F69DFC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5770BD9D">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14:paraId="4F044D31">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660D051C">
            <w:pPr>
              <w:spacing w:line="320" w:lineRule="exact"/>
              <w:jc w:val="center"/>
              <w:rPr>
                <w:rFonts w:hint="eastAsia" w:ascii="仿宋_GB2312" w:hAnsi="仿宋_GB2312" w:eastAsia="仿宋_GB2312" w:cs="仿宋_GB2312"/>
                <w:szCs w:val="21"/>
              </w:rPr>
            </w:pPr>
          </w:p>
        </w:tc>
      </w:tr>
      <w:tr w14:paraId="3437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14:paraId="4AFA456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14:paraId="6C4B974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48B4EC88">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33.61</w:t>
            </w:r>
            <w:r>
              <w:rPr>
                <w:rFonts w:hint="default" w:ascii="Arial" w:hAnsi="Arial" w:eastAsia="仿宋_GB2312" w:cs="Arial"/>
                <w:szCs w:val="21"/>
                <w:lang w:val="en-US" w:eastAsia="zh-CN"/>
              </w:rPr>
              <w:t>÷</w:t>
            </w:r>
            <w:r>
              <w:rPr>
                <w:rFonts w:hint="eastAsia" w:ascii="仿宋_GB2312" w:hAnsi="仿宋_GB2312" w:eastAsia="仿宋_GB2312" w:cs="仿宋_GB2312"/>
                <w:szCs w:val="21"/>
                <w:lang w:val="en-US" w:eastAsia="zh-CN"/>
              </w:rPr>
              <w:t>35.16=95.59</w:t>
            </w:r>
            <w:r>
              <w:rPr>
                <w:rFonts w:hint="eastAsia" w:ascii="仿宋_GB2312" w:hAnsi="仿宋_GB2312" w:eastAsia="仿宋_GB2312" w:cs="仿宋_GB2312"/>
                <w:szCs w:val="21"/>
              </w:rPr>
              <w:t>%。根据实际情况评分</w:t>
            </w:r>
          </w:p>
        </w:tc>
        <w:tc>
          <w:tcPr>
            <w:tcW w:w="832" w:type="dxa"/>
            <w:noWrap w:val="0"/>
            <w:tcMar>
              <w:top w:w="0" w:type="dxa"/>
              <w:left w:w="105" w:type="dxa"/>
              <w:bottom w:w="0" w:type="dxa"/>
              <w:right w:w="105" w:type="dxa"/>
            </w:tcMar>
            <w:vAlign w:val="center"/>
          </w:tcPr>
          <w:p w14:paraId="7132EC5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26AC8A10">
            <w:pPr>
              <w:spacing w:line="320" w:lineRule="exact"/>
              <w:jc w:val="center"/>
              <w:rPr>
                <w:rFonts w:hint="eastAsia" w:ascii="仿宋_GB2312" w:hAnsi="仿宋_GB2312" w:eastAsia="仿宋_GB2312" w:cs="仿宋_GB2312"/>
                <w:szCs w:val="21"/>
              </w:rPr>
            </w:pPr>
          </w:p>
        </w:tc>
      </w:tr>
      <w:tr w14:paraId="1348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13C4992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14:paraId="3DAB374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3682D0A3">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本项目建立了</w:t>
            </w:r>
            <w:r>
              <w:rPr>
                <w:rFonts w:hint="eastAsia" w:ascii="仿宋_GB2312" w:hAnsi="仿宋_GB2312" w:eastAsia="仿宋_GB2312" w:cs="仿宋_GB2312"/>
                <w:szCs w:val="21"/>
                <w:lang w:eastAsia="zh-CN"/>
              </w:rPr>
              <w:t>专项资金</w:t>
            </w:r>
            <w:r>
              <w:rPr>
                <w:rFonts w:hint="eastAsia" w:ascii="仿宋_GB2312" w:hAnsi="仿宋_GB2312" w:eastAsia="仿宋_GB2312" w:cs="仿宋_GB2312"/>
                <w:szCs w:val="21"/>
              </w:rPr>
              <w:t>项目管理制度，并严格按相关制度执行。</w:t>
            </w:r>
          </w:p>
        </w:tc>
        <w:tc>
          <w:tcPr>
            <w:tcW w:w="832" w:type="dxa"/>
            <w:noWrap w:val="0"/>
            <w:tcMar>
              <w:top w:w="0" w:type="dxa"/>
              <w:left w:w="105" w:type="dxa"/>
              <w:bottom w:w="0" w:type="dxa"/>
              <w:right w:w="105" w:type="dxa"/>
            </w:tcMar>
            <w:vAlign w:val="center"/>
          </w:tcPr>
          <w:p w14:paraId="72D6F5F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30E3F7B9">
            <w:pPr>
              <w:spacing w:line="320" w:lineRule="exact"/>
              <w:jc w:val="center"/>
              <w:rPr>
                <w:rFonts w:hint="eastAsia" w:ascii="仿宋_GB2312" w:hAnsi="仿宋_GB2312" w:eastAsia="仿宋_GB2312" w:cs="仿宋_GB2312"/>
                <w:szCs w:val="21"/>
              </w:rPr>
            </w:pPr>
          </w:p>
        </w:tc>
      </w:tr>
      <w:tr w14:paraId="1A14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14:paraId="6DEBDB6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6BFFC86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14:paraId="3DD8A86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5D0D212">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14:paraId="31A4F80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41F73944">
            <w:pPr>
              <w:spacing w:line="320" w:lineRule="exact"/>
              <w:jc w:val="center"/>
              <w:rPr>
                <w:rFonts w:hint="eastAsia" w:ascii="仿宋_GB2312" w:hAnsi="仿宋_GB2312" w:eastAsia="仿宋_GB2312" w:cs="仿宋_GB2312"/>
                <w:szCs w:val="21"/>
              </w:rPr>
            </w:pPr>
          </w:p>
        </w:tc>
      </w:tr>
      <w:tr w14:paraId="2E651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restart"/>
            <w:noWrap w:val="0"/>
            <w:tcMar>
              <w:top w:w="0" w:type="dxa"/>
              <w:left w:w="105" w:type="dxa"/>
              <w:bottom w:w="0" w:type="dxa"/>
              <w:right w:w="105" w:type="dxa"/>
            </w:tcMar>
            <w:vAlign w:val="center"/>
          </w:tcPr>
          <w:p w14:paraId="4BA688D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vMerge w:val="restart"/>
            <w:noWrap w:val="0"/>
            <w:tcMar>
              <w:top w:w="0" w:type="dxa"/>
              <w:left w:w="105" w:type="dxa"/>
              <w:bottom w:w="0" w:type="dxa"/>
              <w:right w:w="105" w:type="dxa"/>
            </w:tcMar>
            <w:vAlign w:val="center"/>
          </w:tcPr>
          <w:p w14:paraId="4E1EA42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shd w:val="clear" w:color="auto" w:fill="auto"/>
            <w:noWrap w:val="0"/>
            <w:tcMar>
              <w:top w:w="0" w:type="dxa"/>
              <w:left w:w="105" w:type="dxa"/>
              <w:bottom w:w="0" w:type="dxa"/>
              <w:right w:w="105" w:type="dxa"/>
            </w:tcMar>
            <w:vAlign w:val="center"/>
          </w:tcPr>
          <w:p w14:paraId="5946E0F9">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产出目标：保障遗属人员、独生子女奖励对象福利待遇计</w:t>
            </w:r>
            <w:r>
              <w:rPr>
                <w:rFonts w:hint="eastAsia" w:ascii="仿宋_GB2312" w:hAnsi="仿宋_GB2312" w:eastAsia="仿宋_GB2312" w:cs="仿宋_GB2312"/>
                <w:szCs w:val="21"/>
                <w:lang w:val="en-US" w:eastAsia="zh-CN"/>
              </w:rPr>
              <w:t>10分。</w:t>
            </w:r>
          </w:p>
        </w:tc>
        <w:tc>
          <w:tcPr>
            <w:tcW w:w="832" w:type="dxa"/>
            <w:noWrap w:val="0"/>
            <w:tcMar>
              <w:top w:w="0" w:type="dxa"/>
              <w:left w:w="105" w:type="dxa"/>
              <w:bottom w:w="0" w:type="dxa"/>
              <w:right w:w="105" w:type="dxa"/>
            </w:tcMar>
            <w:vAlign w:val="center"/>
          </w:tcPr>
          <w:p w14:paraId="3EFF76E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73061D5C">
            <w:pPr>
              <w:spacing w:line="320" w:lineRule="exact"/>
              <w:jc w:val="center"/>
              <w:rPr>
                <w:rFonts w:hint="eastAsia" w:ascii="仿宋_GB2312" w:hAnsi="仿宋_GB2312" w:eastAsia="仿宋_GB2312" w:cs="仿宋_GB2312"/>
                <w:szCs w:val="21"/>
              </w:rPr>
            </w:pPr>
          </w:p>
        </w:tc>
      </w:tr>
      <w:tr w14:paraId="512AC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1DE24FFF">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509480F0">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621757B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产出数量：确保遗属人员、独生子女奖励对象福利待遇按时</w:t>
            </w:r>
            <w:r>
              <w:rPr>
                <w:rFonts w:hint="eastAsia" w:ascii="仿宋_GB2312" w:hAnsi="仿宋_GB2312" w:eastAsia="仿宋_GB2312" w:cs="仿宋_GB2312"/>
                <w:szCs w:val="21"/>
                <w:lang w:val="en-US" w:eastAsia="zh-CN"/>
              </w:rPr>
              <w:t>发放，计5分。</w:t>
            </w:r>
          </w:p>
        </w:tc>
        <w:tc>
          <w:tcPr>
            <w:tcW w:w="832" w:type="dxa"/>
            <w:noWrap w:val="0"/>
            <w:tcMar>
              <w:top w:w="0" w:type="dxa"/>
              <w:left w:w="105" w:type="dxa"/>
              <w:bottom w:w="0" w:type="dxa"/>
              <w:right w:w="105" w:type="dxa"/>
            </w:tcMar>
            <w:vAlign w:val="center"/>
          </w:tcPr>
          <w:p w14:paraId="6F31E6CA">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w:t>
            </w:r>
          </w:p>
        </w:tc>
        <w:tc>
          <w:tcPr>
            <w:tcW w:w="870" w:type="dxa"/>
            <w:noWrap w:val="0"/>
            <w:tcMar>
              <w:top w:w="0" w:type="dxa"/>
              <w:left w:w="105" w:type="dxa"/>
              <w:bottom w:w="0" w:type="dxa"/>
              <w:right w:w="105" w:type="dxa"/>
            </w:tcMar>
            <w:vAlign w:val="center"/>
          </w:tcPr>
          <w:p w14:paraId="3AF166FC">
            <w:pPr>
              <w:spacing w:line="320" w:lineRule="exact"/>
              <w:jc w:val="center"/>
              <w:rPr>
                <w:rFonts w:hint="eastAsia" w:ascii="仿宋_GB2312" w:hAnsi="仿宋_GB2312" w:eastAsia="仿宋_GB2312" w:cs="仿宋_GB2312"/>
                <w:szCs w:val="21"/>
              </w:rPr>
            </w:pPr>
          </w:p>
        </w:tc>
      </w:tr>
      <w:tr w14:paraId="657C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4013A05E">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73FE07DB">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7CB0252C">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产出时效：确保遗属人员、独生子女奖励对象福利待遇</w:t>
            </w:r>
            <w:r>
              <w:rPr>
                <w:rFonts w:hint="eastAsia" w:ascii="仿宋_GB2312" w:hAnsi="仿宋_GB2312" w:eastAsia="仿宋_GB2312" w:cs="仿宋_GB2312"/>
                <w:szCs w:val="21"/>
                <w:lang w:val="en-US" w:eastAsia="zh-CN"/>
              </w:rPr>
              <w:t>发放到位，计10分。</w:t>
            </w:r>
          </w:p>
        </w:tc>
        <w:tc>
          <w:tcPr>
            <w:tcW w:w="832" w:type="dxa"/>
            <w:noWrap w:val="0"/>
            <w:tcMar>
              <w:top w:w="0" w:type="dxa"/>
              <w:left w:w="105" w:type="dxa"/>
              <w:bottom w:w="0" w:type="dxa"/>
              <w:right w:w="105" w:type="dxa"/>
            </w:tcMar>
            <w:vAlign w:val="center"/>
          </w:tcPr>
          <w:p w14:paraId="37B7C01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06C3343">
            <w:pPr>
              <w:spacing w:line="320" w:lineRule="exact"/>
              <w:jc w:val="center"/>
              <w:rPr>
                <w:rFonts w:hint="eastAsia" w:ascii="仿宋_GB2312" w:hAnsi="仿宋_GB2312" w:eastAsia="仿宋_GB2312" w:cs="仿宋_GB2312"/>
                <w:szCs w:val="21"/>
              </w:rPr>
            </w:pPr>
          </w:p>
        </w:tc>
      </w:tr>
      <w:tr w14:paraId="74CE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6DB0F280">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480C4ADE">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6679D09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成本控制</w:t>
            </w:r>
            <w:r>
              <w:rPr>
                <w:rFonts w:hint="eastAsia" w:ascii="仿宋_GB2312" w:hAnsi="仿宋_GB2312" w:eastAsia="仿宋_GB2312" w:cs="仿宋_GB2312"/>
                <w:szCs w:val="21"/>
                <w:lang w:eastAsia="zh-CN"/>
              </w:rPr>
              <w:t>：其他人员经费</w:t>
            </w:r>
            <w:r>
              <w:rPr>
                <w:rFonts w:hint="eastAsia" w:ascii="仿宋_GB2312" w:hAnsi="仿宋_GB2312" w:eastAsia="仿宋_GB2312" w:cs="仿宋_GB2312"/>
                <w:szCs w:val="21"/>
                <w:lang w:val="en-US" w:eastAsia="zh-CN"/>
              </w:rPr>
              <w:t>33.61万元，按照控制数执行，计5分。</w:t>
            </w:r>
          </w:p>
        </w:tc>
        <w:tc>
          <w:tcPr>
            <w:tcW w:w="832" w:type="dxa"/>
            <w:noWrap w:val="0"/>
            <w:tcMar>
              <w:top w:w="0" w:type="dxa"/>
              <w:left w:w="105" w:type="dxa"/>
              <w:bottom w:w="0" w:type="dxa"/>
              <w:right w:w="105" w:type="dxa"/>
            </w:tcMar>
            <w:vAlign w:val="center"/>
          </w:tcPr>
          <w:p w14:paraId="5843372A">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w:t>
            </w:r>
          </w:p>
        </w:tc>
        <w:tc>
          <w:tcPr>
            <w:tcW w:w="870" w:type="dxa"/>
            <w:noWrap w:val="0"/>
            <w:tcMar>
              <w:top w:w="0" w:type="dxa"/>
              <w:left w:w="105" w:type="dxa"/>
              <w:bottom w:w="0" w:type="dxa"/>
              <w:right w:w="105" w:type="dxa"/>
            </w:tcMar>
            <w:vAlign w:val="center"/>
          </w:tcPr>
          <w:p w14:paraId="26BFA7D8">
            <w:pPr>
              <w:spacing w:line="320" w:lineRule="exact"/>
              <w:jc w:val="center"/>
              <w:rPr>
                <w:rFonts w:hint="eastAsia" w:ascii="仿宋_GB2312" w:hAnsi="仿宋_GB2312" w:eastAsia="仿宋_GB2312" w:cs="仿宋_GB2312"/>
                <w:szCs w:val="21"/>
              </w:rPr>
            </w:pPr>
          </w:p>
        </w:tc>
      </w:tr>
      <w:tr w14:paraId="0303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9" w:hRule="atLeast"/>
          <w:tblCellSpacing w:w="0" w:type="dxa"/>
        </w:trPr>
        <w:tc>
          <w:tcPr>
            <w:tcW w:w="1312" w:type="dxa"/>
            <w:noWrap w:val="0"/>
            <w:tcMar>
              <w:top w:w="0" w:type="dxa"/>
              <w:left w:w="105" w:type="dxa"/>
              <w:bottom w:w="0" w:type="dxa"/>
              <w:right w:w="105" w:type="dxa"/>
            </w:tcMar>
            <w:vAlign w:val="center"/>
          </w:tcPr>
          <w:p w14:paraId="5C7B4EA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14:paraId="39FEC28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14:paraId="717EC10A">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项目效益：</w:t>
            </w:r>
            <w:r>
              <w:rPr>
                <w:rFonts w:hint="eastAsia" w:ascii="仿宋_GB2312" w:hAnsi="仿宋_GB2312" w:eastAsia="仿宋_GB2312" w:cs="仿宋_GB2312"/>
                <w:szCs w:val="21"/>
              </w:rPr>
              <w:t>长期</w:t>
            </w:r>
            <w:r>
              <w:rPr>
                <w:rFonts w:hint="eastAsia" w:ascii="仿宋_GB2312" w:hAnsi="仿宋_GB2312" w:eastAsia="仿宋_GB2312" w:cs="仿宋_GB2312"/>
                <w:szCs w:val="21"/>
                <w:lang w:eastAsia="zh-CN"/>
              </w:rPr>
              <w:t>稳步</w:t>
            </w:r>
            <w:r>
              <w:rPr>
                <w:rFonts w:hint="eastAsia" w:ascii="仿宋_GB2312" w:hAnsi="仿宋_GB2312" w:eastAsia="仿宋_GB2312" w:cs="仿宋_GB2312"/>
                <w:szCs w:val="21"/>
              </w:rPr>
              <w:t>提升退休人员</w:t>
            </w:r>
            <w:r>
              <w:rPr>
                <w:rFonts w:hint="eastAsia" w:ascii="仿宋_GB2312" w:hAnsi="仿宋_GB2312" w:eastAsia="仿宋_GB2312" w:cs="仿宋_GB2312"/>
                <w:szCs w:val="21"/>
                <w:lang w:eastAsia="zh-CN"/>
              </w:rPr>
              <w:t>生活补贴</w:t>
            </w:r>
            <w:r>
              <w:rPr>
                <w:rFonts w:hint="eastAsia" w:ascii="仿宋_GB2312" w:hAnsi="仿宋_GB2312" w:eastAsia="仿宋_GB2312" w:cs="仿宋_GB2312"/>
                <w:szCs w:val="21"/>
              </w:rPr>
              <w:t>水平</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20分</w:t>
            </w:r>
          </w:p>
        </w:tc>
        <w:tc>
          <w:tcPr>
            <w:tcW w:w="832" w:type="dxa"/>
            <w:noWrap w:val="0"/>
            <w:tcMar>
              <w:top w:w="0" w:type="dxa"/>
              <w:left w:w="105" w:type="dxa"/>
              <w:bottom w:w="0" w:type="dxa"/>
              <w:right w:w="105" w:type="dxa"/>
            </w:tcMar>
            <w:vAlign w:val="center"/>
          </w:tcPr>
          <w:p w14:paraId="0759CF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14:paraId="461F6A4A">
            <w:pPr>
              <w:spacing w:line="320" w:lineRule="exact"/>
              <w:jc w:val="center"/>
              <w:rPr>
                <w:rFonts w:hint="eastAsia" w:ascii="仿宋_GB2312" w:hAnsi="仿宋_GB2312" w:eastAsia="仿宋_GB2312" w:cs="仿宋_GB2312"/>
                <w:szCs w:val="21"/>
              </w:rPr>
            </w:pPr>
          </w:p>
        </w:tc>
      </w:tr>
      <w:tr w14:paraId="083B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31A408D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14:paraId="316AA31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3D529B1">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w:t>
            </w:r>
            <w:r>
              <w:rPr>
                <w:rFonts w:hint="eastAsia" w:ascii="仿宋_GB2312" w:hAnsi="仿宋_GB2312" w:eastAsia="仿宋_GB2312" w:cs="仿宋_GB2312"/>
                <w:szCs w:val="21"/>
                <w:lang w:eastAsia="zh-CN"/>
              </w:rPr>
              <w:t>：采取电话访问，互联网平台信息收集等形式通过满意度调查，满意度达到</w:t>
            </w:r>
            <w:r>
              <w:rPr>
                <w:rFonts w:hint="eastAsia" w:ascii="仿宋_GB2312" w:hAnsi="仿宋_GB2312" w:eastAsia="仿宋_GB2312" w:cs="仿宋_GB2312"/>
                <w:szCs w:val="21"/>
                <w:lang w:val="en-US" w:eastAsia="zh-CN"/>
              </w:rPr>
              <w:t>99%</w:t>
            </w:r>
          </w:p>
        </w:tc>
        <w:tc>
          <w:tcPr>
            <w:tcW w:w="832" w:type="dxa"/>
            <w:noWrap w:val="0"/>
            <w:tcMar>
              <w:top w:w="0" w:type="dxa"/>
              <w:left w:w="105" w:type="dxa"/>
              <w:bottom w:w="0" w:type="dxa"/>
              <w:right w:w="105" w:type="dxa"/>
            </w:tcMar>
            <w:vAlign w:val="center"/>
          </w:tcPr>
          <w:p w14:paraId="59B136A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1E6EBC2">
            <w:pPr>
              <w:spacing w:line="320" w:lineRule="exact"/>
              <w:jc w:val="center"/>
              <w:rPr>
                <w:rFonts w:hint="eastAsia" w:ascii="仿宋_GB2312" w:hAnsi="仿宋_GB2312" w:eastAsia="仿宋_GB2312" w:cs="仿宋_GB2312"/>
                <w:szCs w:val="21"/>
              </w:rPr>
            </w:pPr>
          </w:p>
        </w:tc>
      </w:tr>
      <w:tr w14:paraId="7F3F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58F6D7F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14:paraId="1EE9B35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3A9F82FE">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1F9F251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870" w:type="dxa"/>
            <w:noWrap w:val="0"/>
            <w:tcMar>
              <w:top w:w="0" w:type="dxa"/>
              <w:left w:w="105" w:type="dxa"/>
              <w:bottom w:w="0" w:type="dxa"/>
              <w:right w:w="105" w:type="dxa"/>
            </w:tcMar>
            <w:vAlign w:val="center"/>
          </w:tcPr>
          <w:p w14:paraId="58C28A74">
            <w:pPr>
              <w:spacing w:line="320" w:lineRule="exact"/>
              <w:jc w:val="center"/>
              <w:rPr>
                <w:rFonts w:hint="eastAsia" w:ascii="仿宋_GB2312" w:hAnsi="仿宋_GB2312" w:eastAsia="仿宋_GB2312" w:cs="仿宋_GB2312"/>
                <w:szCs w:val="21"/>
              </w:rPr>
            </w:pPr>
          </w:p>
        </w:tc>
      </w:tr>
      <w:tr w14:paraId="0415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14:paraId="53C87769">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14:paraId="380668A7">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0711CB05">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14:paraId="75DA5835">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14:paraId="31FC7EC2">
            <w:pPr>
              <w:spacing w:line="320" w:lineRule="exact"/>
              <w:jc w:val="center"/>
              <w:rPr>
                <w:rFonts w:hint="eastAsia" w:ascii="仿宋_GB2312" w:hAnsi="仿宋_GB2312" w:eastAsia="仿宋_GB2312" w:cs="仿宋_GB2312"/>
                <w:szCs w:val="21"/>
              </w:rPr>
            </w:pPr>
          </w:p>
        </w:tc>
      </w:tr>
      <w:tr w14:paraId="5B6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14:paraId="67F6913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14:paraId="180F892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73C549C6">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48AB5324">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14:paraId="5E11A21E">
            <w:pPr>
              <w:spacing w:line="320" w:lineRule="exact"/>
              <w:jc w:val="center"/>
              <w:rPr>
                <w:rFonts w:hint="eastAsia" w:ascii="仿宋_GB2312" w:hAnsi="仿宋_GB2312" w:eastAsia="仿宋_GB2312" w:cs="仿宋_GB2312"/>
                <w:szCs w:val="21"/>
              </w:rPr>
            </w:pPr>
          </w:p>
        </w:tc>
      </w:tr>
      <w:tr w14:paraId="7FA8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14:paraId="740447C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14:paraId="27EA8A1D">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14:paraId="399F122F">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7E02ABB1">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2462DE2B">
      <w:pPr>
        <w:spacing w:line="300" w:lineRule="exact"/>
        <w:rPr>
          <w:rFonts w:ascii="仿宋_GB2312" w:hAnsi="仿宋_GB2312" w:eastAsia="仿宋_GB2312" w:cs="仿宋_GB2312"/>
          <w:sz w:val="22"/>
          <w:szCs w:val="22"/>
        </w:rPr>
      </w:pPr>
      <w:r>
        <w:rPr>
          <w:rFonts w:ascii="仿宋_GB2312" w:hAnsi="仿宋_GB2312" w:eastAsia="仿宋_GB2312" w:cs="仿宋_GB2312"/>
          <w:sz w:val="22"/>
          <w:szCs w:val="22"/>
        </w:rPr>
        <w:t>单位负责人）：</w:t>
      </w:r>
      <w:r>
        <w:rPr>
          <w:rFonts w:hint="eastAsia" w:ascii="仿宋_GB2312" w:hAnsi="仿宋_GB2312" w:eastAsia="仿宋_GB2312" w:cs="仿宋_GB2312"/>
          <w:szCs w:val="21"/>
          <w:lang w:eastAsia="zh-CN"/>
        </w:rPr>
        <w:t>黄生昱</w:t>
      </w:r>
      <w:r>
        <w:rPr>
          <w:rFonts w:ascii="仿宋_GB2312" w:hAnsi="仿宋_GB2312" w:eastAsia="仿宋_GB2312" w:cs="仿宋_GB2312"/>
          <w:sz w:val="22"/>
          <w:szCs w:val="22"/>
        </w:rPr>
        <w:t xml:space="preserve">  </w:t>
      </w:r>
      <w:r>
        <w:rPr>
          <w:rFonts w:hint="eastAsia" w:ascii="仿宋_GB2312" w:hAnsi="仿宋_GB2312" w:eastAsia="仿宋_GB2312" w:cs="仿宋_GB2312"/>
          <w:sz w:val="22"/>
          <w:szCs w:val="22"/>
        </w:rPr>
        <w:t xml:space="preserve">   </w:t>
      </w:r>
      <w:r>
        <w:rPr>
          <w:rFonts w:ascii="仿宋_GB2312" w:hAnsi="仿宋_GB2312" w:eastAsia="仿宋_GB2312" w:cs="仿宋_GB2312"/>
          <w:sz w:val="22"/>
          <w:szCs w:val="22"/>
        </w:rPr>
        <w:t xml:space="preserve">  项目负责人：</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Cs w:val="21"/>
          <w:lang w:eastAsia="zh-CN"/>
        </w:rPr>
        <w:t>黄生昱</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2"/>
          <w:szCs w:val="22"/>
          <w:lang w:val="en-US" w:eastAsia="zh-CN"/>
        </w:rPr>
        <w:t xml:space="preserve">   </w:t>
      </w:r>
      <w:r>
        <w:rPr>
          <w:rFonts w:ascii="仿宋_GB2312" w:hAnsi="仿宋_GB2312" w:eastAsia="仿宋_GB2312" w:cs="仿宋_GB2312"/>
          <w:sz w:val="22"/>
          <w:szCs w:val="22"/>
        </w:rPr>
        <w:t>填表日期：</w:t>
      </w:r>
      <w:r>
        <w:rPr>
          <w:rFonts w:hint="eastAsia" w:ascii="仿宋_GB2312" w:hAnsi="仿宋_GB2312" w:eastAsia="仿宋_GB2312" w:cs="仿宋_GB2312"/>
          <w:sz w:val="22"/>
          <w:szCs w:val="22"/>
          <w:lang w:val="en-US" w:eastAsia="zh-CN"/>
        </w:rPr>
        <w:t>2025</w:t>
      </w:r>
      <w:r>
        <w:rPr>
          <w:rFonts w:ascii="仿宋_GB2312" w:hAnsi="仿宋_GB2312" w:eastAsia="仿宋_GB2312" w:cs="仿宋_GB2312"/>
          <w:sz w:val="22"/>
          <w:szCs w:val="22"/>
        </w:rPr>
        <w:t>年</w:t>
      </w:r>
      <w:r>
        <w:rPr>
          <w:rFonts w:hint="eastAsia" w:ascii="仿宋_GB2312" w:hAnsi="仿宋_GB2312" w:eastAsia="仿宋_GB2312" w:cs="仿宋_GB2312"/>
          <w:sz w:val="22"/>
          <w:szCs w:val="22"/>
          <w:lang w:val="en-US" w:eastAsia="zh-CN"/>
        </w:rPr>
        <w:t>3</w:t>
      </w:r>
      <w:r>
        <w:rPr>
          <w:rFonts w:ascii="仿宋_GB2312" w:hAnsi="仿宋_GB2312" w:eastAsia="仿宋_GB2312" w:cs="仿宋_GB2312"/>
          <w:sz w:val="22"/>
          <w:szCs w:val="22"/>
        </w:rPr>
        <w:t>月</w:t>
      </w:r>
      <w:r>
        <w:rPr>
          <w:rFonts w:hint="eastAsia" w:ascii="仿宋_GB2312" w:hAnsi="仿宋_GB2312" w:eastAsia="仿宋_GB2312" w:cs="仿宋_GB2312"/>
          <w:sz w:val="22"/>
          <w:szCs w:val="22"/>
          <w:lang w:val="en-US" w:eastAsia="zh-CN"/>
        </w:rPr>
        <w:t>21</w:t>
      </w:r>
      <w:r>
        <w:rPr>
          <w:rFonts w:ascii="仿宋_GB2312" w:hAnsi="仿宋_GB2312" w:eastAsia="仿宋_GB2312" w:cs="仿宋_GB2312"/>
          <w:sz w:val="22"/>
          <w:szCs w:val="22"/>
        </w:rPr>
        <w:t>日</w:t>
      </w:r>
    </w:p>
    <w:p w14:paraId="6FD6BA47">
      <w:pPr>
        <w:spacing w:before="240" w:line="340" w:lineRule="exact"/>
        <w:jc w:val="left"/>
        <w:rPr>
          <w:b/>
          <w:sz w:val="28"/>
          <w:szCs w:val="28"/>
        </w:rPr>
      </w:pPr>
      <w:r>
        <w:rPr>
          <w:rFonts w:hint="eastAsia" w:ascii="仿宋_GB2312" w:hAnsi="仿宋_GB2312" w:eastAsia="仿宋_GB2312" w:cs="仿宋_GB2312"/>
          <w:b/>
          <w:sz w:val="28"/>
          <w:szCs w:val="28"/>
        </w:rPr>
        <w:t>附件2-3</w:t>
      </w:r>
    </w:p>
    <w:p w14:paraId="310C45A2">
      <w:pPr>
        <w:spacing w:line="600" w:lineRule="exact"/>
        <w:jc w:val="center"/>
        <w:rPr>
          <w:rFonts w:ascii="宋体" w:hAnsi="宋体"/>
          <w:b/>
          <w:w w:val="85"/>
          <w:sz w:val="36"/>
          <w:szCs w:val="36"/>
        </w:rPr>
      </w:pPr>
      <w:r>
        <w:rPr>
          <w:rFonts w:hint="eastAsia" w:ascii="宋体" w:hAnsi="宋体" w:eastAsia="方正粗宋简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米贝苗族乡学校其他人员经费</w:t>
      </w:r>
      <w:r>
        <w:rPr>
          <w:rFonts w:hint="eastAsia" w:ascii="宋体" w:hAnsi="宋体"/>
          <w:b/>
          <w:w w:val="85"/>
          <w:sz w:val="36"/>
          <w:szCs w:val="36"/>
        </w:rPr>
        <w:t>项目</w:t>
      </w:r>
      <w:r>
        <w:rPr>
          <w:rFonts w:ascii="宋体" w:hAnsi="宋体"/>
          <w:b/>
          <w:w w:val="85"/>
          <w:sz w:val="36"/>
          <w:szCs w:val="36"/>
        </w:rPr>
        <w:t>支出</w:t>
      </w:r>
    </w:p>
    <w:p w14:paraId="0E657D80">
      <w:pPr>
        <w:spacing w:line="600" w:lineRule="exact"/>
        <w:jc w:val="center"/>
        <w:rPr>
          <w:rFonts w:hint="eastAsia" w:ascii="宋体" w:hAnsi="宋体"/>
          <w:b/>
          <w:w w:val="85"/>
          <w:sz w:val="36"/>
          <w:szCs w:val="36"/>
        </w:rPr>
      </w:pPr>
      <w:r>
        <w:rPr>
          <w:rFonts w:hint="eastAsia" w:ascii="宋体" w:hAnsi="宋体"/>
          <w:b/>
          <w:w w:val="85"/>
          <w:sz w:val="36"/>
          <w:szCs w:val="36"/>
        </w:rPr>
        <w:t>绩效</w:t>
      </w:r>
      <w:r>
        <w:rPr>
          <w:rFonts w:ascii="宋体" w:hAnsi="宋体"/>
          <w:b/>
          <w:w w:val="85"/>
          <w:sz w:val="36"/>
          <w:szCs w:val="36"/>
        </w:rPr>
        <w:t>自评报告</w:t>
      </w:r>
    </w:p>
    <w:p w14:paraId="48C65DA2">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cs="宋体"/>
          <w:b/>
          <w:sz w:val="32"/>
          <w:szCs w:val="32"/>
        </w:rPr>
        <w:t>一、基本情况</w:t>
      </w:r>
    </w:p>
    <w:p w14:paraId="63D6294C">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1、通过预算转指标（2024）0007号其他人员经费35.16万元，全部拨付到位。</w:t>
      </w:r>
    </w:p>
    <w:p w14:paraId="67B1084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2、资金投入和使用情况</w:t>
      </w:r>
    </w:p>
    <w:p w14:paraId="14EA15E0">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截止2024年12月，我校其他人员经费35.16万元全部拨付到位，到位率为100%。</w:t>
      </w:r>
    </w:p>
    <w:p w14:paraId="4D008253">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项目资金执行情况：截止2024年12月，本年度支付其他人员经费33.61万元。</w:t>
      </w:r>
    </w:p>
    <w:p w14:paraId="1FCA70DA">
      <w:pPr>
        <w:pStyle w:val="4"/>
        <w:keepNext w:val="0"/>
        <w:keepLines w:val="0"/>
        <w:pageBreakBefore w:val="0"/>
        <w:widowControl w:val="0"/>
        <w:kinsoku/>
        <w:wordWrap/>
        <w:overflowPunct/>
        <w:topLinePunct w:val="0"/>
        <w:autoSpaceDE/>
        <w:autoSpaceDN/>
        <w:bidi w:val="0"/>
        <w:adjustRightInd/>
        <w:snapToGrid/>
        <w:spacing w:after="0" w:line="480" w:lineRule="auto"/>
        <w:ind w:left="0" w:leftChars="0" w:firstLine="560" w:firstLineChars="0"/>
        <w:jc w:val="left"/>
        <w:rPr>
          <w:rFonts w:hint="eastAsia" w:ascii="仿宋_GB2312" w:hAnsi="仿宋_GB2312" w:eastAsia="仿宋_GB2312" w:cs="仿宋_GB2312"/>
          <w:sz w:val="32"/>
          <w:szCs w:val="32"/>
          <w:lang w:val="en-US" w:eastAsia="zh-CN" w:bidi="ar-SA"/>
        </w:rPr>
      </w:pPr>
      <w:r>
        <w:rPr>
          <w:rFonts w:hint="eastAsia" w:ascii="仿宋" w:hAnsi="仿宋" w:eastAsia="仿宋" w:cs="Times New Roman"/>
          <w:sz w:val="32"/>
          <w:szCs w:val="32"/>
          <w:lang w:val="en-US" w:eastAsia="zh-CN" w:bidi="ar-SA"/>
        </w:rPr>
        <w:t>项目实施情况：</w:t>
      </w:r>
      <w:r>
        <w:rPr>
          <w:rFonts w:hint="eastAsia" w:ascii="仿宋_GB2312" w:hAnsi="仿宋_GB2312" w:eastAsia="仿宋_GB2312" w:cs="仿宋_GB2312"/>
          <w:sz w:val="32"/>
          <w:szCs w:val="32"/>
          <w:lang w:val="en-US" w:eastAsia="zh-CN"/>
        </w:rPr>
        <w:t>本年度年初预算时把遗属人员生活补助及单位离退休人员独生子女补助列入了该项预算。</w:t>
      </w:r>
    </w:p>
    <w:p w14:paraId="1D6748EB">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_GB2312" w:hAnsi="仿宋_GB2312" w:eastAsia="仿宋_GB2312" w:cs="仿宋_GB2312"/>
          <w:sz w:val="32"/>
          <w:szCs w:val="32"/>
          <w:lang w:val="en-US" w:eastAsia="zh-CN"/>
        </w:rPr>
        <w:t>项目绩效目标：</w:t>
      </w:r>
      <w:r>
        <w:rPr>
          <w:rFonts w:hint="eastAsia" w:ascii="仿宋" w:hAnsi="仿宋" w:eastAsia="仿宋" w:cs="Times New Roman"/>
          <w:sz w:val="32"/>
          <w:szCs w:val="32"/>
          <w:lang w:val="en-US" w:eastAsia="zh-CN" w:bidi="ar-SA"/>
        </w:rPr>
        <w:t>保障遗属人员、独生子女奖励对象福利待遇及时足额发放到位，提升受补助人员生活水平。</w:t>
      </w:r>
    </w:p>
    <w:p w14:paraId="16557FE5">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二、绩效评价工作开展情况</w:t>
      </w:r>
    </w:p>
    <w:p w14:paraId="4C1C1BE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39AE5631">
      <w:pPr>
        <w:spacing w:line="600" w:lineRule="exact"/>
        <w:ind w:firstLine="640" w:firstLineChars="200"/>
        <w:rPr>
          <w:rFonts w:ascii="仿宋" w:hAnsi="仿宋" w:eastAsia="仿宋"/>
          <w:sz w:val="32"/>
          <w:szCs w:val="32"/>
        </w:rPr>
      </w:pPr>
      <w:r>
        <w:rPr>
          <w:rFonts w:hint="eastAsia" w:ascii="仿宋" w:hAnsi="仿宋" w:eastAsia="仿宋"/>
          <w:sz w:val="32"/>
          <w:szCs w:val="32"/>
        </w:rPr>
        <w:t>绩效评价目的</w:t>
      </w:r>
      <w:r>
        <w:rPr>
          <w:rFonts w:hint="eastAsia" w:ascii="仿宋" w:hAnsi="仿宋" w:eastAsia="仿宋"/>
          <w:sz w:val="32"/>
          <w:szCs w:val="32"/>
          <w:lang w:eastAsia="zh-CN"/>
        </w:rPr>
        <w:t>：</w:t>
      </w:r>
      <w:r>
        <w:rPr>
          <w:rFonts w:hint="eastAsia" w:ascii="仿宋_GB2312" w:hAnsi="仿宋_GB2312" w:eastAsia="仿宋_GB2312" w:cs="仿宋_GB2312"/>
          <w:color w:val="000000"/>
          <w:kern w:val="0"/>
          <w:sz w:val="32"/>
          <w:szCs w:val="32"/>
        </w:rPr>
        <w:t>在项目期内充分合理使用预算，避免出现专项资金滞留及挪用等违规违纪行为。</w:t>
      </w:r>
      <w:r>
        <w:rPr>
          <w:rFonts w:hint="eastAsia" w:ascii="仿宋" w:hAnsi="仿宋" w:eastAsia="仿宋"/>
          <w:sz w:val="32"/>
          <w:szCs w:val="32"/>
        </w:rPr>
        <w:t>强化绩效和责任意识，</w:t>
      </w:r>
      <w:r>
        <w:rPr>
          <w:rFonts w:hint="eastAsia" w:ascii="仿宋_GB2312" w:hAnsi="仿宋_GB2312" w:eastAsia="仿宋_GB2312" w:cs="仿宋_GB2312"/>
          <w:sz w:val="32"/>
          <w:szCs w:val="32"/>
        </w:rPr>
        <w:t>清晰了解</w:t>
      </w:r>
      <w:r>
        <w:rPr>
          <w:rFonts w:hint="eastAsia" w:ascii="仿宋_GB2312" w:hAnsi="仿宋_GB2312" w:eastAsia="仿宋_GB2312" w:cs="仿宋_GB2312"/>
          <w:sz w:val="32"/>
          <w:szCs w:val="32"/>
          <w:lang w:val="en-US" w:eastAsia="zh-CN"/>
        </w:rPr>
        <w:t>资金发放</w:t>
      </w:r>
      <w:r>
        <w:rPr>
          <w:rFonts w:hint="eastAsia" w:ascii="仿宋_GB2312" w:hAnsi="仿宋_GB2312" w:eastAsia="仿宋_GB2312" w:cs="仿宋_GB2312"/>
          <w:sz w:val="32"/>
          <w:szCs w:val="32"/>
        </w:rPr>
        <w:t>完成情况</w:t>
      </w:r>
      <w:r>
        <w:rPr>
          <w:rFonts w:hint="eastAsia" w:ascii="仿宋_GB2312" w:hAnsi="仿宋_GB2312" w:eastAsia="仿宋_GB2312" w:cs="仿宋_GB2312"/>
          <w:sz w:val="32"/>
          <w:szCs w:val="32"/>
          <w:lang w:val="en-US" w:eastAsia="zh-CN"/>
        </w:rPr>
        <w:t>及进</w:t>
      </w:r>
      <w:r>
        <w:rPr>
          <w:rFonts w:hint="eastAsia" w:ascii="仿宋" w:hAnsi="仿宋" w:eastAsia="仿宋"/>
          <w:sz w:val="32"/>
          <w:szCs w:val="32"/>
        </w:rPr>
        <w:t>一步规范专项资金管理</w:t>
      </w:r>
      <w:r>
        <w:rPr>
          <w:rFonts w:hint="eastAsia" w:ascii="仿宋" w:hAnsi="仿宋" w:eastAsia="仿宋"/>
          <w:sz w:val="32"/>
          <w:szCs w:val="32"/>
          <w:lang w:eastAsia="zh-CN"/>
        </w:rPr>
        <w:t>，</w:t>
      </w:r>
      <w:r>
        <w:rPr>
          <w:rFonts w:hint="eastAsia" w:ascii="仿宋" w:hAnsi="仿宋" w:eastAsia="仿宋"/>
          <w:sz w:val="32"/>
          <w:szCs w:val="32"/>
        </w:rPr>
        <w:t>切实提高专项资金使用效益。</w:t>
      </w:r>
    </w:p>
    <w:p w14:paraId="6CD31A82">
      <w:pPr>
        <w:spacing w:line="600" w:lineRule="exact"/>
        <w:ind w:firstLine="640" w:firstLineChars="200"/>
        <w:rPr>
          <w:rFonts w:ascii="仿宋" w:hAnsi="仿宋" w:eastAsia="仿宋"/>
          <w:sz w:val="32"/>
          <w:szCs w:val="32"/>
        </w:rPr>
      </w:pPr>
      <w:r>
        <w:rPr>
          <w:rFonts w:hint="eastAsia" w:ascii="仿宋" w:hAnsi="仿宋" w:eastAsia="仿宋"/>
          <w:sz w:val="32"/>
          <w:szCs w:val="32"/>
        </w:rPr>
        <w:t>评价对象</w:t>
      </w:r>
      <w:r>
        <w:rPr>
          <w:rFonts w:hint="eastAsia" w:ascii="仿宋" w:hAnsi="仿宋" w:eastAsia="仿宋"/>
          <w:sz w:val="32"/>
          <w:szCs w:val="32"/>
          <w:lang w:eastAsia="zh-CN"/>
        </w:rPr>
        <w:t>：其他人员经费专项经费</w:t>
      </w:r>
      <w:r>
        <w:rPr>
          <w:rFonts w:hint="eastAsia" w:ascii="仿宋" w:hAnsi="仿宋" w:eastAsia="仿宋"/>
          <w:sz w:val="32"/>
          <w:szCs w:val="32"/>
        </w:rPr>
        <w:t>资金项目。</w:t>
      </w:r>
    </w:p>
    <w:p w14:paraId="500CF2EB">
      <w:pPr>
        <w:numPr>
          <w:ilvl w:val="0"/>
          <w:numId w:val="0"/>
        </w:numPr>
        <w:spacing w:line="560" w:lineRule="exact"/>
        <w:ind w:left="600" w:leftChars="0"/>
        <w:jc w:val="left"/>
        <w:rPr>
          <w:rFonts w:hint="eastAsia" w:ascii="仿宋_GB2312" w:hAnsi="仿宋_GB2312" w:eastAsia="仿宋_GB2312" w:cs="仿宋_GB2312"/>
          <w:sz w:val="32"/>
          <w:szCs w:val="32"/>
        </w:rPr>
      </w:pPr>
      <w:r>
        <w:rPr>
          <w:rFonts w:hint="eastAsia" w:ascii="仿宋" w:hAnsi="仿宋" w:eastAsia="仿宋"/>
          <w:sz w:val="32"/>
          <w:szCs w:val="32"/>
        </w:rPr>
        <w:t>评价范围</w:t>
      </w:r>
      <w:r>
        <w:rPr>
          <w:rFonts w:hint="eastAsia" w:ascii="仿宋" w:hAnsi="仿宋" w:eastAsia="仿宋"/>
          <w:sz w:val="32"/>
          <w:szCs w:val="32"/>
          <w:lang w:eastAsia="zh-CN"/>
        </w:rPr>
        <w:t>：</w:t>
      </w:r>
      <w:r>
        <w:rPr>
          <w:rFonts w:hint="eastAsia" w:ascii="仿宋" w:hAnsi="仿宋" w:eastAsia="仿宋"/>
          <w:sz w:val="32"/>
          <w:szCs w:val="32"/>
        </w:rPr>
        <w:t>包括202</w:t>
      </w:r>
      <w:r>
        <w:rPr>
          <w:rFonts w:hint="eastAsia"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sz w:val="32"/>
          <w:szCs w:val="32"/>
          <w:lang w:eastAsia="zh-CN"/>
        </w:rPr>
        <w:t>其他人员经费专项经费</w:t>
      </w:r>
      <w:r>
        <w:rPr>
          <w:rFonts w:hint="eastAsia" w:ascii="仿宋" w:hAnsi="仿宋" w:eastAsia="仿宋"/>
          <w:sz w:val="32"/>
          <w:szCs w:val="32"/>
        </w:rPr>
        <w:t>资金项目。</w:t>
      </w:r>
    </w:p>
    <w:p w14:paraId="4A9AC2DC">
      <w:pPr>
        <w:numPr>
          <w:ilvl w:val="0"/>
          <w:numId w:val="1"/>
        </w:numPr>
        <w:spacing w:line="560" w:lineRule="exact"/>
        <w:ind w:left="-40" w:leftChars="0" w:firstLine="64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绩效评价原则、评价指标体系（附表说明）、评价方法、评价标准等。</w:t>
      </w:r>
    </w:p>
    <w:p w14:paraId="4E193FA5">
      <w:pPr>
        <w:spacing w:line="600" w:lineRule="exact"/>
        <w:ind w:firstLine="640" w:firstLineChars="200"/>
        <w:rPr>
          <w:rFonts w:ascii="仿宋" w:hAnsi="仿宋" w:eastAsia="仿宋"/>
          <w:sz w:val="32"/>
          <w:szCs w:val="32"/>
        </w:rPr>
      </w:pPr>
      <w:r>
        <w:rPr>
          <w:rFonts w:hint="eastAsia" w:ascii="仿宋" w:hAnsi="仿宋" w:eastAsia="仿宋"/>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14:paraId="5E9EE58B">
      <w:pPr>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sz w:val="32"/>
          <w:szCs w:val="32"/>
        </w:rPr>
        <w:t>（三）绩效评价工作过程：认真参照项目绩效评分标准，对执行情况逐项进行量化评分。</w:t>
      </w:r>
    </w:p>
    <w:p w14:paraId="3E28F9F8">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三、综合评价情况及评价结论（附相关评分表）</w:t>
      </w:r>
    </w:p>
    <w:p w14:paraId="012884C6">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根据《湖南省预算支出绩效评价管理办法》（湘财绩〔2020〕7号）和《新晃侗族自治县财政局关于开展202</w:t>
      </w:r>
      <w:r>
        <w:rPr>
          <w:rFonts w:hint="eastAsia" w:ascii="仿宋" w:hAnsi="仿宋" w:eastAsia="仿宋"/>
          <w:sz w:val="32"/>
          <w:szCs w:val="32"/>
          <w:lang w:val="en-US" w:eastAsia="zh-CN"/>
        </w:rPr>
        <w:t>4</w:t>
      </w:r>
      <w:r>
        <w:rPr>
          <w:rFonts w:hint="eastAsia" w:ascii="仿宋" w:hAnsi="仿宋" w:eastAsia="仿宋"/>
          <w:sz w:val="32"/>
          <w:szCs w:val="32"/>
        </w:rPr>
        <w:t>年度部门预算支出绩效自评工作的通知》（晃财绩〔202</w:t>
      </w:r>
      <w:r>
        <w:rPr>
          <w:rFonts w:hint="eastAsia" w:ascii="仿宋" w:hAnsi="仿宋" w:eastAsia="仿宋"/>
          <w:sz w:val="32"/>
          <w:szCs w:val="32"/>
          <w:lang w:val="en-US" w:eastAsia="zh-CN"/>
        </w:rPr>
        <w:t>5</w:t>
      </w:r>
      <w:r>
        <w:rPr>
          <w:rFonts w:hint="eastAsia" w:ascii="仿宋" w:hAnsi="仿宋" w:eastAsia="仿宋"/>
          <w:sz w:val="32"/>
          <w:szCs w:val="32"/>
        </w:rPr>
        <w:t>〕</w:t>
      </w:r>
      <w:r>
        <w:rPr>
          <w:rFonts w:hint="eastAsia" w:ascii="仿宋" w:hAnsi="仿宋" w:eastAsia="仿宋"/>
          <w:sz w:val="32"/>
          <w:szCs w:val="32"/>
          <w:lang w:val="en-US" w:eastAsia="zh-CN"/>
        </w:rPr>
        <w:t>1</w:t>
      </w:r>
      <w:r>
        <w:rPr>
          <w:rFonts w:hint="eastAsia" w:ascii="仿宋" w:hAnsi="仿宋" w:eastAsia="仿宋"/>
          <w:sz w:val="32"/>
          <w:szCs w:val="32"/>
        </w:rPr>
        <w:t>号）等文件要求，我单位成立了绩效自评工作小组，对</w:t>
      </w:r>
      <w:r>
        <w:rPr>
          <w:rFonts w:hint="eastAsia" w:ascii="仿宋" w:hAnsi="仿宋" w:eastAsia="仿宋"/>
          <w:sz w:val="32"/>
          <w:szCs w:val="32"/>
          <w:lang w:val="en-US" w:eastAsia="zh-CN"/>
        </w:rPr>
        <w:t>其他人员经费</w:t>
      </w:r>
      <w:r>
        <w:rPr>
          <w:rFonts w:hint="eastAsia" w:ascii="仿宋" w:hAnsi="仿宋" w:eastAsia="仿宋"/>
          <w:sz w:val="32"/>
          <w:szCs w:val="32"/>
        </w:rPr>
        <w:t>项目支出开展了绩效自评工作。组织人员收集项目资料，检查会计凭证，在规定的时间内，对项目的实施过程进行了全面、科学、细致的评价。</w:t>
      </w:r>
    </w:p>
    <w:p w14:paraId="3AA99CBF">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本次自评，对照项目绩效目标，从项目预算编制、项目组织管理、资金使用、项目产出、项目效益、满意度等方面逐一分析评价，总体自评得分</w:t>
      </w:r>
      <w:r>
        <w:rPr>
          <w:rFonts w:hint="eastAsia" w:ascii="仿宋" w:hAnsi="仿宋" w:eastAsia="仿宋"/>
          <w:sz w:val="32"/>
          <w:szCs w:val="32"/>
          <w:lang w:val="en-US" w:eastAsia="zh-CN"/>
        </w:rPr>
        <w:t>100</w:t>
      </w:r>
      <w:r>
        <w:rPr>
          <w:rFonts w:hint="eastAsia" w:ascii="仿宋" w:hAnsi="仿宋" w:eastAsia="仿宋"/>
          <w:sz w:val="32"/>
          <w:szCs w:val="32"/>
        </w:rPr>
        <w:t>分，绩效评价等级为“优”。</w:t>
      </w:r>
    </w:p>
    <w:p w14:paraId="20E05BE6">
      <w:pPr>
        <w:spacing w:line="560" w:lineRule="exact"/>
        <w:ind w:firstLine="643"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四、绩效评价指标分析</w:t>
      </w:r>
    </w:p>
    <w:p w14:paraId="4D09707E">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（一）项目决策情况</w:t>
      </w:r>
      <w:r>
        <w:rPr>
          <w:rFonts w:hint="eastAsia" w:ascii="仿宋" w:hAnsi="仿宋" w:eastAsia="仿宋"/>
          <w:sz w:val="32"/>
          <w:szCs w:val="32"/>
          <w:lang w:eastAsia="zh-CN"/>
        </w:rPr>
        <w:t>：</w:t>
      </w:r>
      <w:r>
        <w:rPr>
          <w:rFonts w:hint="eastAsia" w:ascii="仿宋" w:hAnsi="仿宋" w:eastAsia="仿宋"/>
          <w:sz w:val="32"/>
          <w:szCs w:val="32"/>
        </w:rPr>
        <w:t>通过</w:t>
      </w:r>
      <w:r>
        <w:rPr>
          <w:rFonts w:hint="eastAsia" w:ascii="仿宋" w:hAnsi="仿宋" w:eastAsia="仿宋"/>
          <w:sz w:val="32"/>
          <w:szCs w:val="32"/>
          <w:lang w:eastAsia="zh-CN"/>
        </w:rPr>
        <w:t>预算转指标（</w:t>
      </w:r>
      <w:r>
        <w:rPr>
          <w:rFonts w:hint="eastAsia" w:ascii="仿宋" w:hAnsi="仿宋" w:eastAsia="仿宋"/>
          <w:sz w:val="32"/>
          <w:szCs w:val="32"/>
          <w:lang w:val="en-US" w:eastAsia="zh-CN"/>
        </w:rPr>
        <w:t>2024</w:t>
      </w:r>
      <w:r>
        <w:rPr>
          <w:rFonts w:hint="eastAsia" w:ascii="仿宋" w:hAnsi="仿宋" w:eastAsia="仿宋"/>
          <w:sz w:val="32"/>
          <w:szCs w:val="32"/>
          <w:lang w:eastAsia="zh-CN"/>
        </w:rPr>
        <w:t>）</w:t>
      </w:r>
      <w:r>
        <w:rPr>
          <w:rFonts w:hint="eastAsia" w:ascii="仿宋" w:hAnsi="仿宋" w:eastAsia="仿宋"/>
          <w:sz w:val="32"/>
          <w:szCs w:val="32"/>
          <w:lang w:val="en-US" w:eastAsia="zh-CN"/>
        </w:rPr>
        <w:t>0007号</w:t>
      </w:r>
      <w:r>
        <w:rPr>
          <w:rFonts w:hint="eastAsia" w:ascii="仿宋" w:hAnsi="仿宋" w:eastAsia="仿宋"/>
          <w:sz w:val="32"/>
          <w:szCs w:val="32"/>
          <w:lang w:eastAsia="zh-CN"/>
        </w:rPr>
        <w:t>在年初对该项专项经费认真列好支出预算，严格按照专项资金管理制度保证资金及时足额发放到位。</w:t>
      </w:r>
    </w:p>
    <w:p w14:paraId="5AE6C688">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（二）项目过程情况</w:t>
      </w:r>
      <w:r>
        <w:rPr>
          <w:rFonts w:hint="eastAsia" w:ascii="仿宋" w:hAnsi="仿宋" w:eastAsia="仿宋"/>
          <w:sz w:val="32"/>
          <w:szCs w:val="32"/>
          <w:lang w:eastAsia="zh-CN"/>
        </w:rPr>
        <w:t>：</w:t>
      </w:r>
      <w:r>
        <w:rPr>
          <w:rFonts w:hint="eastAsia" w:ascii="仿宋" w:hAnsi="仿宋" w:eastAsia="仿宋"/>
          <w:sz w:val="32"/>
          <w:szCs w:val="32"/>
        </w:rPr>
        <w:t>此项项目资金严格按照专项资金管理办法，按规定控制资金使用范围。确保</w:t>
      </w:r>
      <w:r>
        <w:rPr>
          <w:rFonts w:hint="eastAsia" w:ascii="仿宋" w:hAnsi="仿宋" w:eastAsia="仿宋"/>
          <w:sz w:val="32"/>
          <w:szCs w:val="32"/>
          <w:lang w:eastAsia="zh-CN"/>
        </w:rPr>
        <w:t>遗属人员、独生子女奖励对象福利待遇及时发放到位</w:t>
      </w:r>
      <w:r>
        <w:rPr>
          <w:rFonts w:hint="eastAsia" w:ascii="仿宋" w:hAnsi="仿宋" w:eastAsia="仿宋"/>
          <w:sz w:val="32"/>
          <w:szCs w:val="32"/>
        </w:rPr>
        <w:t>。</w:t>
      </w:r>
    </w:p>
    <w:p w14:paraId="29CC1504">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（三）项目产出情况</w:t>
      </w:r>
      <w:r>
        <w:rPr>
          <w:rFonts w:hint="eastAsia" w:ascii="仿宋" w:hAnsi="仿宋" w:eastAsia="仿宋"/>
          <w:sz w:val="32"/>
          <w:szCs w:val="32"/>
          <w:lang w:eastAsia="zh-CN"/>
        </w:rPr>
        <w:t>：</w:t>
      </w:r>
    </w:p>
    <w:p w14:paraId="7AF11E51">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产出目标：保障遗属人员、独生子女奖励对象福利待遇。</w:t>
      </w:r>
    </w:p>
    <w:p w14:paraId="4910D74D">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产出数量：确保遗属人员、独生子女奖励对象福利待遇按时发放。</w:t>
      </w:r>
    </w:p>
    <w:p w14:paraId="7641F17C">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产出时效：确保遗属人员、独生子女奖励对象福利待遇及时足额</w:t>
      </w:r>
      <w:r>
        <w:rPr>
          <w:rFonts w:hint="eastAsia" w:ascii="仿宋" w:hAnsi="仿宋" w:eastAsia="仿宋"/>
          <w:sz w:val="32"/>
          <w:szCs w:val="32"/>
          <w:lang w:val="en-US" w:eastAsia="zh-CN"/>
        </w:rPr>
        <w:t>发放到位。</w:t>
      </w:r>
    </w:p>
    <w:p w14:paraId="63F3A2BF">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成本控制：其他人员经费35.16万元，按照控制数严格执行。</w:t>
      </w:r>
    </w:p>
    <w:p w14:paraId="4EB2B47B">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（四）项目效益情况</w:t>
      </w:r>
      <w:r>
        <w:rPr>
          <w:rFonts w:hint="eastAsia" w:ascii="仿宋" w:hAnsi="仿宋" w:eastAsia="仿宋"/>
          <w:sz w:val="32"/>
          <w:szCs w:val="32"/>
          <w:lang w:eastAsia="zh-CN"/>
        </w:rPr>
        <w:t>：</w:t>
      </w:r>
      <w:r>
        <w:rPr>
          <w:rFonts w:hint="eastAsia" w:ascii="仿宋" w:hAnsi="仿宋" w:eastAsia="仿宋"/>
          <w:sz w:val="32"/>
          <w:szCs w:val="32"/>
          <w:lang w:val="en-US" w:eastAsia="zh-CN"/>
        </w:rPr>
        <w:t>长期稳步提升退休人员生活补贴水平。</w:t>
      </w:r>
    </w:p>
    <w:p w14:paraId="330D4496">
      <w:pPr>
        <w:spacing w:line="560" w:lineRule="exact"/>
        <w:ind w:left="0" w:leftChars="0" w:firstLine="643" w:firstLineChars="200"/>
        <w:jc w:val="left"/>
        <w:rPr>
          <w:rFonts w:hint="eastAsia" w:ascii="宋体" w:hAnsi="宋体" w:cs="宋体"/>
          <w:b/>
          <w:sz w:val="32"/>
          <w:szCs w:val="32"/>
        </w:rPr>
      </w:pPr>
      <w:r>
        <w:rPr>
          <w:rFonts w:hint="eastAsia" w:ascii="宋体" w:hAnsi="宋体" w:cs="宋体"/>
          <w:b/>
          <w:sz w:val="32"/>
          <w:szCs w:val="32"/>
        </w:rPr>
        <w:t>五、主要经验及做法、存在的问题及原因分析</w:t>
      </w:r>
    </w:p>
    <w:p w14:paraId="13F65208">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经验及做法：专款专用，保障其他人员经费及时足额发放到位。</w:t>
      </w:r>
    </w:p>
    <w:p w14:paraId="0286D0A0">
      <w:pPr>
        <w:numPr>
          <w:ilvl w:val="0"/>
          <w:numId w:val="2"/>
        </w:numPr>
        <w:spacing w:line="560" w:lineRule="exact"/>
        <w:ind w:leftChars="200" w:firstLine="321" w:firstLineChars="100"/>
        <w:jc w:val="left"/>
        <w:rPr>
          <w:rFonts w:hint="eastAsia" w:ascii="宋体" w:hAnsi="宋体" w:cs="宋体"/>
          <w:b/>
          <w:sz w:val="32"/>
          <w:szCs w:val="32"/>
        </w:rPr>
      </w:pPr>
      <w:r>
        <w:rPr>
          <w:rFonts w:hint="eastAsia" w:ascii="宋体" w:hAnsi="宋体" w:cs="宋体"/>
          <w:b/>
          <w:sz w:val="32"/>
          <w:szCs w:val="32"/>
        </w:rPr>
        <w:t>有关建议</w:t>
      </w:r>
    </w:p>
    <w:p w14:paraId="7F5C1237">
      <w:pPr>
        <w:keepNext w:val="0"/>
        <w:keepLines w:val="0"/>
        <w:pageBreakBefore w:val="0"/>
        <w:widowControl w:val="0"/>
        <w:kinsoku/>
        <w:wordWrap/>
        <w:overflowPunct/>
        <w:topLinePunct w:val="0"/>
        <w:autoSpaceDE/>
        <w:autoSpaceDN/>
        <w:bidi w:val="0"/>
        <w:adjustRightInd/>
        <w:snapToGrid/>
        <w:spacing w:line="48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科学合理编制预算，严格执行预算。完善管理制度，进一步加强管理。</w:t>
      </w:r>
    </w:p>
    <w:p w14:paraId="4244EB40">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七、其他需要说明的问题</w:t>
      </w:r>
    </w:p>
    <w:p w14:paraId="14661803">
      <w:pPr>
        <w:pStyle w:val="3"/>
        <w:widowControl w:val="0"/>
        <w:spacing w:before="0" w:beforeAutospacing="0" w:after="0" w:afterAutospacing="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6D1F85C4">
      <w:pPr>
        <w:pStyle w:val="3"/>
        <w:widowControl w:val="0"/>
        <w:spacing w:before="0" w:beforeAutospacing="0" w:after="0" w:afterAutospacing="0" w:line="520" w:lineRule="exac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新晃侗族自治县米贝苗族乡学校                </w:t>
      </w:r>
    </w:p>
    <w:p w14:paraId="44D6DB79">
      <w:pPr>
        <w:ind w:firstLine="5440" w:firstLineChars="1700"/>
        <w:jc w:val="right"/>
        <w:rPr>
          <w:rFonts w:eastAsia="仿宋_GB2312"/>
          <w:sz w:val="24"/>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p w14:paraId="005E057A">
      <w:pPr>
        <w:ind w:firstLine="6080" w:firstLineChars="1900"/>
        <w:jc w:val="right"/>
        <w:rPr>
          <w:rFonts w:hint="eastAsia" w:ascii="仿宋_GB2312" w:hAnsi="仿宋_GB2312" w:eastAsia="仿宋_GB2312" w:cs="仿宋_GB2312"/>
          <w:sz w:val="32"/>
          <w:szCs w:val="32"/>
        </w:rPr>
      </w:pPr>
    </w:p>
    <w:p w14:paraId="1811C72F">
      <w:pPr>
        <w:ind w:firstLine="6080" w:firstLineChars="1900"/>
        <w:rPr>
          <w:rFonts w:hint="eastAsia" w:ascii="仿宋_GB2312" w:hAnsi="仿宋_GB2312" w:eastAsia="仿宋_GB2312" w:cs="仿宋_GB2312"/>
          <w:sz w:val="32"/>
          <w:szCs w:val="32"/>
        </w:rPr>
      </w:pPr>
    </w:p>
    <w:p w14:paraId="7B095F44">
      <w:pPr>
        <w:ind w:firstLine="6080" w:firstLineChars="1900"/>
        <w:rPr>
          <w:rFonts w:hint="eastAsia" w:ascii="仿宋_GB2312" w:hAnsi="仿宋_GB2312" w:eastAsia="仿宋_GB2312" w:cs="仿宋_GB2312"/>
          <w:sz w:val="32"/>
          <w:szCs w:val="32"/>
        </w:rPr>
      </w:pPr>
    </w:p>
    <w:p w14:paraId="6FDB48FA">
      <w:pPr>
        <w:ind w:firstLine="6080" w:firstLineChars="1900"/>
        <w:rPr>
          <w:rFonts w:hint="eastAsia" w:ascii="仿宋_GB2312" w:hAnsi="仿宋_GB2312" w:eastAsia="仿宋_GB2312" w:cs="仿宋_GB2312"/>
          <w:sz w:val="32"/>
          <w:szCs w:val="32"/>
        </w:rPr>
      </w:pPr>
    </w:p>
    <w:p w14:paraId="536965B5">
      <w:pPr>
        <w:ind w:firstLine="6080" w:firstLineChars="1900"/>
        <w:rPr>
          <w:rFonts w:hint="eastAsia" w:ascii="仿宋_GB2312" w:hAnsi="仿宋_GB2312" w:eastAsia="仿宋_GB2312" w:cs="仿宋_GB2312"/>
          <w:sz w:val="32"/>
          <w:szCs w:val="32"/>
        </w:rPr>
      </w:pPr>
    </w:p>
    <w:p w14:paraId="3593B3AC">
      <w:pPr>
        <w:ind w:firstLine="6080" w:firstLineChars="1900"/>
        <w:rPr>
          <w:rFonts w:hint="eastAsia" w:ascii="仿宋_GB2312" w:hAnsi="仿宋_GB2312" w:eastAsia="仿宋_GB2312" w:cs="仿宋_GB2312"/>
          <w:sz w:val="32"/>
          <w:szCs w:val="32"/>
        </w:rPr>
      </w:pPr>
    </w:p>
    <w:p w14:paraId="701CE88C">
      <w:pPr>
        <w:ind w:firstLine="6080" w:firstLineChars="1900"/>
        <w:rPr>
          <w:rFonts w:hint="eastAsia" w:ascii="仿宋_GB2312" w:hAnsi="仿宋_GB2312" w:eastAsia="仿宋_GB2312" w:cs="仿宋_GB2312"/>
          <w:sz w:val="32"/>
          <w:szCs w:val="32"/>
        </w:rPr>
      </w:pPr>
    </w:p>
    <w:p w14:paraId="29D8FC75">
      <w:pPr>
        <w:spacing w:line="320" w:lineRule="exact"/>
        <w:ind w:left="0"/>
        <w:jc w:val="left"/>
        <w:rPr>
          <w:rFonts w:hint="eastAsia" w:ascii="仿宋_GB2312" w:hAnsi="仿宋_GB2312" w:eastAsia="仿宋_GB2312" w:cs="仿宋_GB2312"/>
          <w:b/>
          <w:sz w:val="28"/>
          <w:szCs w:val="28"/>
        </w:rPr>
      </w:pPr>
    </w:p>
    <w:p w14:paraId="4DE3B5A5">
      <w:pPr>
        <w:spacing w:line="320" w:lineRule="exact"/>
        <w:ind w:left="0"/>
        <w:jc w:val="left"/>
        <w:rPr>
          <w:rFonts w:hint="eastAsia" w:ascii="仿宋_GB2312" w:hAnsi="仿宋_GB2312" w:eastAsia="仿宋_GB2312" w:cs="仿宋_GB2312"/>
          <w:b/>
          <w:sz w:val="24"/>
        </w:rPr>
      </w:pPr>
      <w:r>
        <w:rPr>
          <w:rFonts w:hint="eastAsia" w:ascii="仿宋_GB2312" w:hAnsi="仿宋_GB2312" w:eastAsia="仿宋_GB2312" w:cs="仿宋_GB2312"/>
          <w:b/>
          <w:sz w:val="28"/>
          <w:szCs w:val="28"/>
        </w:rPr>
        <w:t>附件2-1</w:t>
      </w:r>
    </w:p>
    <w:p w14:paraId="42B5B615">
      <w:pPr>
        <w:spacing w:line="800" w:lineRule="exact"/>
        <w:jc w:val="center"/>
        <w:rPr>
          <w:rFonts w:hint="eastAsia" w:ascii="宋体" w:hAnsi="宋体"/>
          <w:b/>
          <w:w w:val="90"/>
          <w:sz w:val="36"/>
          <w:szCs w:val="36"/>
        </w:rPr>
      </w:pPr>
      <w:r>
        <w:rPr>
          <w:rFonts w:hint="eastAsia" w:ascii="宋体" w:hAnsi="宋体"/>
          <w:b/>
          <w:w w:val="90"/>
          <w:sz w:val="36"/>
          <w:szCs w:val="36"/>
        </w:rPr>
        <w:t>2024年度新晃县项目绩效自评计分标准</w:t>
      </w:r>
    </w:p>
    <w:tbl>
      <w:tblPr>
        <w:tblStyle w:val="5"/>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727"/>
        <w:gridCol w:w="6770"/>
      </w:tblGrid>
      <w:tr w14:paraId="5A68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trPr>
        <w:tc>
          <w:tcPr>
            <w:tcW w:w="1321" w:type="dxa"/>
            <w:noWrap w:val="0"/>
            <w:vAlign w:val="center"/>
          </w:tcPr>
          <w:p w14:paraId="67611D3E">
            <w:pPr>
              <w:spacing w:line="340" w:lineRule="exact"/>
              <w:jc w:val="center"/>
              <w:rPr>
                <w:rFonts w:eastAsia="仿宋_GB2312"/>
                <w:sz w:val="24"/>
              </w:rPr>
            </w:pPr>
            <w:r>
              <w:rPr>
                <w:rFonts w:eastAsia="仿宋_GB2312"/>
                <w:sz w:val="24"/>
              </w:rPr>
              <w:t>评价内容</w:t>
            </w:r>
          </w:p>
        </w:tc>
        <w:tc>
          <w:tcPr>
            <w:tcW w:w="727" w:type="dxa"/>
            <w:noWrap w:val="0"/>
            <w:vAlign w:val="center"/>
          </w:tcPr>
          <w:p w14:paraId="11ECD454">
            <w:pPr>
              <w:spacing w:line="340" w:lineRule="exact"/>
              <w:jc w:val="center"/>
              <w:rPr>
                <w:rFonts w:eastAsia="仿宋_GB2312"/>
                <w:sz w:val="24"/>
              </w:rPr>
            </w:pPr>
            <w:r>
              <w:rPr>
                <w:rFonts w:eastAsia="仿宋_GB2312"/>
                <w:sz w:val="24"/>
              </w:rPr>
              <w:t>分值</w:t>
            </w:r>
          </w:p>
        </w:tc>
        <w:tc>
          <w:tcPr>
            <w:tcW w:w="6770" w:type="dxa"/>
            <w:noWrap w:val="0"/>
            <w:vAlign w:val="center"/>
          </w:tcPr>
          <w:p w14:paraId="6D5961B2">
            <w:pPr>
              <w:spacing w:line="340" w:lineRule="exact"/>
              <w:jc w:val="center"/>
              <w:rPr>
                <w:rFonts w:eastAsia="仿宋_GB2312"/>
                <w:sz w:val="24"/>
              </w:rPr>
            </w:pPr>
            <w:r>
              <w:rPr>
                <w:rFonts w:eastAsia="仿宋_GB2312"/>
                <w:sz w:val="24"/>
              </w:rPr>
              <w:t>评分标准</w:t>
            </w:r>
          </w:p>
        </w:tc>
      </w:tr>
      <w:tr w14:paraId="1065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1" w:type="dxa"/>
            <w:noWrap w:val="0"/>
            <w:vAlign w:val="center"/>
          </w:tcPr>
          <w:p w14:paraId="0268A7A9">
            <w:pPr>
              <w:spacing w:line="340" w:lineRule="exact"/>
              <w:jc w:val="center"/>
              <w:rPr>
                <w:rFonts w:eastAsia="仿宋_GB2312"/>
                <w:sz w:val="24"/>
              </w:rPr>
            </w:pPr>
            <w:r>
              <w:rPr>
                <w:rFonts w:eastAsia="仿宋_GB2312"/>
                <w:sz w:val="24"/>
              </w:rPr>
              <w:t>项目预算及预期绩效目标编制水平</w:t>
            </w:r>
          </w:p>
        </w:tc>
        <w:tc>
          <w:tcPr>
            <w:tcW w:w="727" w:type="dxa"/>
            <w:noWrap w:val="0"/>
            <w:vAlign w:val="center"/>
          </w:tcPr>
          <w:p w14:paraId="53094E3A">
            <w:pPr>
              <w:spacing w:line="340" w:lineRule="exact"/>
              <w:jc w:val="center"/>
              <w:rPr>
                <w:rFonts w:eastAsia="仿宋_GB2312"/>
                <w:sz w:val="24"/>
              </w:rPr>
            </w:pPr>
            <w:r>
              <w:rPr>
                <w:rFonts w:eastAsia="仿宋_GB2312"/>
                <w:sz w:val="24"/>
              </w:rPr>
              <w:t>10</w:t>
            </w:r>
          </w:p>
        </w:tc>
        <w:tc>
          <w:tcPr>
            <w:tcW w:w="6770" w:type="dxa"/>
            <w:noWrap w:val="0"/>
            <w:vAlign w:val="top"/>
          </w:tcPr>
          <w:p w14:paraId="43E72FCD">
            <w:pPr>
              <w:spacing w:line="460" w:lineRule="exact"/>
              <w:rPr>
                <w:rFonts w:eastAsia="仿宋_GB2312"/>
                <w:sz w:val="24"/>
              </w:rPr>
            </w:pPr>
            <w:r>
              <w:rPr>
                <w:rFonts w:eastAsia="仿宋_GB2312"/>
                <w:sz w:val="24"/>
              </w:rPr>
              <w:t>1、项目预算（即投入目标）的科学、合理性，5分。项目预算编制存在下列问题的，各扣1分，扣完为止：（1）项目设置与部门（单位）履职无关或与部门（单位）职能衔接不够，与其他项目存在重叠交叉；（2）将由非本级政府（财政）承担的事项列入本级项目支出责任范围；（3）项目支出事项测算没有具体的数量、规格、型号或人数、天数等基本信息；（4）项目支出事项测算与市场价格相差很远，或没有体现厉行节约原则；（5）将未经政府批准，或未受委托履行政府职能的中介机构、协会、学会等非预算单位的经费补助编入项目预算；（6）将接待经费、未经批准的临时人员工资或没有依据的津补贴、奖金、福利等编入项目预算；（7）将没有具体内容的“其他”、“不可预见费”和“机动经费”等编入项目预算。</w:t>
            </w:r>
          </w:p>
          <w:p w14:paraId="735AE623">
            <w:pPr>
              <w:spacing w:line="460" w:lineRule="exact"/>
              <w:rPr>
                <w:rFonts w:eastAsia="仿宋_GB2312"/>
                <w:sz w:val="24"/>
              </w:rPr>
            </w:pPr>
            <w:r>
              <w:rPr>
                <w:rFonts w:eastAsia="仿宋_GB2312"/>
                <w:sz w:val="24"/>
              </w:rPr>
              <w:t>2、项目预期绩效目标的完整性、相关性，3分。申报的产出或效果类绩效目标没有设定相关联的绩效指标，各扣</w:t>
            </w:r>
            <w:r>
              <w:rPr>
                <w:rFonts w:hint="eastAsia" w:eastAsia="仿宋_GB2312"/>
                <w:sz w:val="24"/>
              </w:rPr>
              <w:t>0.8</w:t>
            </w:r>
            <w:r>
              <w:rPr>
                <w:rFonts w:eastAsia="仿宋_GB2312"/>
                <w:sz w:val="24"/>
              </w:rPr>
              <w:t>分；设置的产出或效果类关键性指标可以量化而没有量化的，各扣</w:t>
            </w:r>
            <w:r>
              <w:rPr>
                <w:rFonts w:hint="eastAsia" w:eastAsia="仿宋_GB2312"/>
                <w:sz w:val="24"/>
              </w:rPr>
              <w:t>0.7</w:t>
            </w:r>
            <w:r>
              <w:rPr>
                <w:rFonts w:eastAsia="仿宋_GB2312"/>
                <w:sz w:val="24"/>
              </w:rPr>
              <w:t>分；没有申报项目预期绩效目标的，不得分。</w:t>
            </w:r>
          </w:p>
          <w:p w14:paraId="4E7F1DF6">
            <w:pPr>
              <w:spacing w:line="460" w:lineRule="exact"/>
              <w:rPr>
                <w:rFonts w:eastAsia="仿宋_GB2312"/>
                <w:sz w:val="24"/>
              </w:rPr>
            </w:pPr>
            <w:r>
              <w:rPr>
                <w:rFonts w:eastAsia="仿宋_GB2312"/>
                <w:sz w:val="24"/>
              </w:rPr>
              <w:t>3、项目预算（投入目标）与项目产出、效果目标的匹配性，2分。在既定资金规模下，项目产出、效果目标过高或过低；或者要完成既定项目产出、效果目标，资金规模过大或过小的，不得分；没有申报绩效目标，无法判定项目投入目标与产出、效果目标的匹配性的，不得分。</w:t>
            </w:r>
          </w:p>
        </w:tc>
      </w:tr>
      <w:tr w14:paraId="24DE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21" w:type="dxa"/>
            <w:noWrap w:val="0"/>
            <w:vAlign w:val="center"/>
          </w:tcPr>
          <w:p w14:paraId="388F5D10">
            <w:pPr>
              <w:spacing w:line="300" w:lineRule="exact"/>
              <w:jc w:val="center"/>
              <w:rPr>
                <w:rFonts w:eastAsia="仿宋_GB2312"/>
                <w:sz w:val="24"/>
              </w:rPr>
            </w:pPr>
            <w:r>
              <w:rPr>
                <w:rFonts w:eastAsia="仿宋_GB2312"/>
                <w:sz w:val="24"/>
              </w:rPr>
              <w:t>预算执行率</w:t>
            </w:r>
          </w:p>
        </w:tc>
        <w:tc>
          <w:tcPr>
            <w:tcW w:w="727" w:type="dxa"/>
            <w:noWrap w:val="0"/>
            <w:vAlign w:val="center"/>
          </w:tcPr>
          <w:p w14:paraId="505D4569">
            <w:pPr>
              <w:spacing w:line="340" w:lineRule="exact"/>
              <w:jc w:val="center"/>
              <w:rPr>
                <w:rFonts w:eastAsia="仿宋_GB2312"/>
                <w:sz w:val="24"/>
              </w:rPr>
            </w:pPr>
            <w:r>
              <w:rPr>
                <w:rFonts w:eastAsia="仿宋_GB2312"/>
                <w:sz w:val="24"/>
              </w:rPr>
              <w:t>10</w:t>
            </w:r>
          </w:p>
        </w:tc>
        <w:tc>
          <w:tcPr>
            <w:tcW w:w="6770" w:type="dxa"/>
            <w:noWrap w:val="0"/>
            <w:vAlign w:val="center"/>
          </w:tcPr>
          <w:p w14:paraId="55589FCE">
            <w:pPr>
              <w:spacing w:line="440" w:lineRule="exact"/>
              <w:rPr>
                <w:rFonts w:eastAsia="仿宋_GB2312"/>
                <w:sz w:val="24"/>
              </w:rPr>
            </w:pPr>
            <w:r>
              <w:rPr>
                <w:rFonts w:eastAsia="仿宋_GB2312"/>
                <w:sz w:val="24"/>
              </w:rPr>
              <w:t>预算执行率S≥95%，得满分；每下降1%，扣0.25分，扣完为止。</w:t>
            </w:r>
          </w:p>
        </w:tc>
      </w:tr>
      <w:tr w14:paraId="0123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321" w:type="dxa"/>
            <w:noWrap w:val="0"/>
            <w:vAlign w:val="center"/>
          </w:tcPr>
          <w:p w14:paraId="5CB637E9">
            <w:pPr>
              <w:spacing w:line="340" w:lineRule="exact"/>
              <w:jc w:val="center"/>
              <w:rPr>
                <w:rFonts w:hint="eastAsia" w:eastAsia="仿宋_GB2312"/>
                <w:sz w:val="24"/>
              </w:rPr>
            </w:pPr>
            <w:r>
              <w:rPr>
                <w:rFonts w:eastAsia="仿宋_GB2312"/>
                <w:sz w:val="24"/>
              </w:rPr>
              <w:t>项目组织</w:t>
            </w:r>
          </w:p>
          <w:p w14:paraId="5FEC09EA">
            <w:pPr>
              <w:spacing w:line="340" w:lineRule="exact"/>
              <w:jc w:val="center"/>
              <w:rPr>
                <w:rFonts w:eastAsia="仿宋_GB2312"/>
                <w:sz w:val="24"/>
              </w:rPr>
            </w:pPr>
            <w:r>
              <w:rPr>
                <w:rFonts w:eastAsia="仿宋_GB2312"/>
                <w:sz w:val="24"/>
              </w:rPr>
              <w:t>管理水平</w:t>
            </w:r>
          </w:p>
        </w:tc>
        <w:tc>
          <w:tcPr>
            <w:tcW w:w="727" w:type="dxa"/>
            <w:noWrap w:val="0"/>
            <w:vAlign w:val="center"/>
          </w:tcPr>
          <w:p w14:paraId="63378E0C">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33EB01B2">
            <w:pPr>
              <w:spacing w:line="460" w:lineRule="exact"/>
              <w:rPr>
                <w:rFonts w:eastAsia="仿宋_GB2312"/>
                <w:sz w:val="24"/>
              </w:rPr>
            </w:pPr>
            <w:r>
              <w:rPr>
                <w:rFonts w:eastAsia="仿宋_GB2312"/>
                <w:sz w:val="24"/>
              </w:rPr>
              <w:t>1、建立健全项目管理制度，得</w:t>
            </w:r>
            <w:r>
              <w:rPr>
                <w:rFonts w:hint="eastAsia" w:eastAsia="仿宋_GB2312"/>
                <w:sz w:val="24"/>
              </w:rPr>
              <w:t>4</w:t>
            </w:r>
            <w:r>
              <w:rPr>
                <w:rFonts w:eastAsia="仿宋_GB2312"/>
                <w:sz w:val="24"/>
              </w:rPr>
              <w:t>分。</w:t>
            </w:r>
          </w:p>
          <w:p w14:paraId="5E9DE436">
            <w:pPr>
              <w:spacing w:line="460" w:lineRule="exact"/>
              <w:rPr>
                <w:rFonts w:eastAsia="仿宋_GB2312"/>
                <w:sz w:val="24"/>
              </w:rPr>
            </w:pPr>
            <w:r>
              <w:rPr>
                <w:rFonts w:eastAsia="仿宋_GB2312"/>
                <w:sz w:val="24"/>
              </w:rPr>
              <w:t>2、严格执行项目管理制度，得</w:t>
            </w:r>
            <w:r>
              <w:rPr>
                <w:rFonts w:hint="eastAsia" w:eastAsia="仿宋_GB2312"/>
                <w:sz w:val="24"/>
              </w:rPr>
              <w:t>6</w:t>
            </w:r>
            <w:r>
              <w:rPr>
                <w:rFonts w:eastAsia="仿宋_GB2312"/>
                <w:sz w:val="24"/>
              </w:rPr>
              <w:t>分。其中，购买商品、工程和服务不依法政府采购或工程项目不按规定招投标的，不得分。</w:t>
            </w:r>
          </w:p>
        </w:tc>
      </w:tr>
      <w:tr w14:paraId="2713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0" w:hRule="atLeast"/>
        </w:trPr>
        <w:tc>
          <w:tcPr>
            <w:tcW w:w="1321" w:type="dxa"/>
            <w:noWrap w:val="0"/>
            <w:vAlign w:val="center"/>
          </w:tcPr>
          <w:p w14:paraId="3D236367">
            <w:pPr>
              <w:spacing w:line="340" w:lineRule="exact"/>
              <w:jc w:val="center"/>
              <w:rPr>
                <w:rFonts w:hint="eastAsia" w:eastAsia="仿宋_GB2312"/>
                <w:sz w:val="24"/>
              </w:rPr>
            </w:pPr>
            <w:r>
              <w:rPr>
                <w:rFonts w:eastAsia="仿宋_GB2312"/>
                <w:sz w:val="24"/>
              </w:rPr>
              <w:t>资金支出</w:t>
            </w:r>
          </w:p>
          <w:p w14:paraId="38CA8111">
            <w:pPr>
              <w:spacing w:line="340" w:lineRule="exact"/>
              <w:jc w:val="center"/>
              <w:rPr>
                <w:rFonts w:eastAsia="仿宋_GB2312"/>
                <w:sz w:val="24"/>
              </w:rPr>
            </w:pPr>
            <w:r>
              <w:rPr>
                <w:rFonts w:eastAsia="仿宋_GB2312"/>
                <w:sz w:val="24"/>
              </w:rPr>
              <w:t>合理合规</w:t>
            </w:r>
          </w:p>
        </w:tc>
        <w:tc>
          <w:tcPr>
            <w:tcW w:w="727" w:type="dxa"/>
            <w:noWrap w:val="0"/>
            <w:vAlign w:val="center"/>
          </w:tcPr>
          <w:p w14:paraId="4102413E">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1C4FC7CF">
            <w:pPr>
              <w:spacing w:line="460" w:lineRule="exact"/>
              <w:rPr>
                <w:rFonts w:eastAsia="仿宋_GB2312"/>
                <w:sz w:val="24"/>
              </w:rPr>
            </w:pPr>
            <w:r>
              <w:rPr>
                <w:rFonts w:eastAsia="仿宋_GB2312"/>
                <w:sz w:val="24"/>
              </w:rPr>
              <w:t>资金支出合理合规比率=（项目资金支出-不合理合规资金支出）/项目资金支出×100%。</w:t>
            </w:r>
          </w:p>
          <w:p w14:paraId="6AF63BD9">
            <w:pPr>
              <w:spacing w:line="460" w:lineRule="exact"/>
              <w:rPr>
                <w:rFonts w:eastAsia="仿宋_GB2312"/>
                <w:sz w:val="24"/>
              </w:rPr>
            </w:pPr>
            <w:r>
              <w:rPr>
                <w:rFonts w:eastAsia="仿宋_GB2312"/>
                <w:sz w:val="24"/>
              </w:rPr>
              <w:t>不合理合规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14:paraId="1A28730A">
            <w:pPr>
              <w:spacing w:line="460" w:lineRule="exact"/>
              <w:rPr>
                <w:rFonts w:eastAsia="仿宋_GB2312"/>
                <w:sz w:val="24"/>
              </w:rPr>
            </w:pPr>
            <w:r>
              <w:rPr>
                <w:rFonts w:eastAsia="仿宋_GB2312"/>
                <w:sz w:val="24"/>
              </w:rPr>
              <w:t>资金支出合理合规比率S=100%，得满分；每下降1%，扣1分，扣完为止。</w:t>
            </w:r>
          </w:p>
        </w:tc>
      </w:tr>
      <w:tr w14:paraId="4A79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321" w:type="dxa"/>
            <w:noWrap w:val="0"/>
            <w:vAlign w:val="center"/>
          </w:tcPr>
          <w:p w14:paraId="127A3628">
            <w:pPr>
              <w:spacing w:line="340" w:lineRule="exact"/>
              <w:jc w:val="center"/>
              <w:rPr>
                <w:rFonts w:eastAsia="仿宋_GB2312"/>
                <w:sz w:val="24"/>
              </w:rPr>
            </w:pPr>
            <w:r>
              <w:rPr>
                <w:rFonts w:eastAsia="仿宋_GB2312"/>
                <w:sz w:val="24"/>
              </w:rPr>
              <w:t>项目</w:t>
            </w:r>
          </w:p>
          <w:p w14:paraId="1EF71A87">
            <w:pPr>
              <w:spacing w:line="340" w:lineRule="exact"/>
              <w:jc w:val="center"/>
              <w:rPr>
                <w:rFonts w:eastAsia="仿宋_GB2312"/>
                <w:sz w:val="24"/>
              </w:rPr>
            </w:pPr>
            <w:r>
              <w:rPr>
                <w:rFonts w:eastAsia="仿宋_GB2312"/>
                <w:sz w:val="24"/>
              </w:rPr>
              <w:t>产出</w:t>
            </w:r>
          </w:p>
        </w:tc>
        <w:tc>
          <w:tcPr>
            <w:tcW w:w="727" w:type="dxa"/>
            <w:noWrap w:val="0"/>
            <w:vAlign w:val="center"/>
          </w:tcPr>
          <w:p w14:paraId="074AB9AF">
            <w:pPr>
              <w:spacing w:line="340" w:lineRule="exact"/>
              <w:jc w:val="center"/>
              <w:rPr>
                <w:rFonts w:eastAsia="仿宋_GB2312"/>
                <w:sz w:val="24"/>
              </w:rPr>
            </w:pPr>
            <w:r>
              <w:rPr>
                <w:rFonts w:eastAsia="仿宋_GB2312"/>
                <w:sz w:val="24"/>
              </w:rPr>
              <w:t>30</w:t>
            </w:r>
          </w:p>
        </w:tc>
        <w:tc>
          <w:tcPr>
            <w:tcW w:w="6770" w:type="dxa"/>
            <w:noWrap w:val="0"/>
            <w:vAlign w:val="top"/>
          </w:tcPr>
          <w:p w14:paraId="1CEFE594">
            <w:pPr>
              <w:spacing w:line="460" w:lineRule="exact"/>
              <w:rPr>
                <w:rFonts w:eastAsia="仿宋_GB2312"/>
                <w:sz w:val="24"/>
              </w:rPr>
            </w:pPr>
            <w:r>
              <w:rPr>
                <w:rFonts w:eastAsia="仿宋_GB231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100%、90%－60%、50%－10%、0%计分。</w:t>
            </w:r>
          </w:p>
        </w:tc>
      </w:tr>
      <w:tr w14:paraId="1E9A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1321" w:type="dxa"/>
            <w:noWrap w:val="0"/>
            <w:vAlign w:val="center"/>
          </w:tcPr>
          <w:p w14:paraId="22C48547">
            <w:pPr>
              <w:spacing w:line="340" w:lineRule="exact"/>
              <w:jc w:val="center"/>
              <w:rPr>
                <w:rFonts w:hint="eastAsia" w:eastAsia="仿宋_GB2312"/>
                <w:sz w:val="24"/>
              </w:rPr>
            </w:pPr>
            <w:r>
              <w:rPr>
                <w:rFonts w:eastAsia="仿宋_GB2312"/>
                <w:sz w:val="24"/>
              </w:rPr>
              <w:t>项目效益</w:t>
            </w:r>
          </w:p>
          <w:p w14:paraId="440070B2">
            <w:pPr>
              <w:spacing w:line="340" w:lineRule="exact"/>
              <w:jc w:val="center"/>
              <w:rPr>
                <w:rFonts w:eastAsia="仿宋_GB2312"/>
                <w:sz w:val="24"/>
              </w:rPr>
            </w:pPr>
            <w:r>
              <w:rPr>
                <w:rFonts w:eastAsia="仿宋_GB2312"/>
                <w:sz w:val="24"/>
              </w:rPr>
              <w:t>（效果）</w:t>
            </w:r>
          </w:p>
        </w:tc>
        <w:tc>
          <w:tcPr>
            <w:tcW w:w="727" w:type="dxa"/>
            <w:noWrap w:val="0"/>
            <w:vAlign w:val="center"/>
          </w:tcPr>
          <w:p w14:paraId="0ECA2B7E">
            <w:pPr>
              <w:spacing w:line="340" w:lineRule="exact"/>
              <w:jc w:val="center"/>
              <w:rPr>
                <w:rFonts w:eastAsia="仿宋_GB2312"/>
                <w:sz w:val="24"/>
              </w:rPr>
            </w:pPr>
            <w:r>
              <w:rPr>
                <w:rFonts w:eastAsia="仿宋_GB2312"/>
                <w:sz w:val="24"/>
              </w:rPr>
              <w:t>20</w:t>
            </w:r>
          </w:p>
        </w:tc>
        <w:tc>
          <w:tcPr>
            <w:tcW w:w="6770" w:type="dxa"/>
            <w:noWrap w:val="0"/>
            <w:vAlign w:val="top"/>
          </w:tcPr>
          <w:p w14:paraId="16705DC2">
            <w:pPr>
              <w:spacing w:line="460" w:lineRule="exact"/>
              <w:rPr>
                <w:rFonts w:eastAsia="仿宋_GB2312"/>
                <w:sz w:val="24"/>
              </w:rPr>
            </w:pPr>
            <w:r>
              <w:rPr>
                <w:rFonts w:eastAsia="仿宋_GB2312"/>
                <w:sz w:val="24"/>
              </w:rPr>
              <w:t>要求根据项目性质和项目预期绩效目标（效益或效果类目标），细化为经济效益、社会效益、环境效益和可持续影响及服务对象满意度等具体绩效指标进行评价。具体指标可量化的，按取得效益或效果的量化比例计分；不可量化的，按目标达到程度分成：达到、基本达到、基本未达到、未达到四档，分别按100%、90%－60%、50%－10%、0%计分。</w:t>
            </w:r>
          </w:p>
        </w:tc>
      </w:tr>
      <w:tr w14:paraId="2F5D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321" w:type="dxa"/>
            <w:noWrap w:val="0"/>
            <w:vAlign w:val="center"/>
          </w:tcPr>
          <w:p w14:paraId="1729C2B2">
            <w:pPr>
              <w:spacing w:line="340" w:lineRule="exact"/>
              <w:jc w:val="center"/>
              <w:rPr>
                <w:rFonts w:hint="eastAsia" w:eastAsia="仿宋_GB2312"/>
                <w:sz w:val="24"/>
              </w:rPr>
            </w:pPr>
            <w:r>
              <w:rPr>
                <w:rFonts w:hint="eastAsia" w:eastAsia="仿宋_GB2312"/>
                <w:sz w:val="24"/>
              </w:rPr>
              <w:t>服务对象满意度</w:t>
            </w:r>
          </w:p>
        </w:tc>
        <w:tc>
          <w:tcPr>
            <w:tcW w:w="727" w:type="dxa"/>
            <w:noWrap w:val="0"/>
            <w:vAlign w:val="center"/>
          </w:tcPr>
          <w:p w14:paraId="57E3B7B5">
            <w:pPr>
              <w:spacing w:line="340" w:lineRule="exact"/>
              <w:jc w:val="center"/>
              <w:rPr>
                <w:rFonts w:hint="eastAsia" w:eastAsia="仿宋_GB2312"/>
                <w:sz w:val="24"/>
              </w:rPr>
            </w:pPr>
            <w:r>
              <w:rPr>
                <w:rFonts w:hint="eastAsia" w:eastAsia="仿宋_GB2312"/>
                <w:sz w:val="24"/>
              </w:rPr>
              <w:t>10</w:t>
            </w:r>
          </w:p>
        </w:tc>
        <w:tc>
          <w:tcPr>
            <w:tcW w:w="6770" w:type="dxa"/>
            <w:noWrap w:val="0"/>
            <w:vAlign w:val="top"/>
          </w:tcPr>
          <w:p w14:paraId="1F4BA94C">
            <w:pPr>
              <w:spacing w:line="340" w:lineRule="exact"/>
              <w:jc w:val="left"/>
              <w:rPr>
                <w:rFonts w:hint="eastAsia" w:eastAsia="仿宋_GB2312"/>
                <w:sz w:val="24"/>
              </w:rPr>
            </w:pPr>
            <w:r>
              <w:rPr>
                <w:rFonts w:hint="eastAsia" w:eastAsia="仿宋_GB2312"/>
                <w:sz w:val="24"/>
              </w:rPr>
              <w:t>服务对象满意度计分：</w:t>
            </w:r>
          </w:p>
          <w:p w14:paraId="399CDE93">
            <w:pPr>
              <w:spacing w:line="340" w:lineRule="exact"/>
              <w:jc w:val="left"/>
              <w:rPr>
                <w:rFonts w:hint="eastAsia" w:eastAsia="仿宋_GB2312"/>
                <w:sz w:val="24"/>
              </w:rPr>
            </w:pPr>
            <w:r>
              <w:rPr>
                <w:rFonts w:hint="eastAsia" w:eastAsia="仿宋_GB2312"/>
                <w:sz w:val="24"/>
              </w:rPr>
              <w:t>90%≤满意度≤100%记10分，</w:t>
            </w:r>
          </w:p>
          <w:p w14:paraId="3A926D3D">
            <w:pPr>
              <w:spacing w:line="340" w:lineRule="exact"/>
              <w:jc w:val="left"/>
              <w:rPr>
                <w:rFonts w:hint="eastAsia" w:eastAsia="仿宋_GB2312"/>
                <w:sz w:val="24"/>
              </w:rPr>
            </w:pPr>
            <w:r>
              <w:rPr>
                <w:rFonts w:hint="eastAsia" w:eastAsia="仿宋_GB2312"/>
                <w:sz w:val="24"/>
              </w:rPr>
              <w:t>80%≤满意度&lt;90%记8分，</w:t>
            </w:r>
          </w:p>
          <w:p w14:paraId="14481ED3">
            <w:pPr>
              <w:spacing w:line="340" w:lineRule="exact"/>
              <w:jc w:val="left"/>
              <w:rPr>
                <w:rFonts w:hint="eastAsia" w:eastAsia="仿宋_GB2312"/>
                <w:sz w:val="24"/>
              </w:rPr>
            </w:pPr>
            <w:r>
              <w:rPr>
                <w:rFonts w:hint="eastAsia" w:eastAsia="仿宋_GB2312"/>
                <w:sz w:val="24"/>
              </w:rPr>
              <w:t>70%≤满意度&lt;80%记6分，</w:t>
            </w:r>
          </w:p>
          <w:p w14:paraId="3F349F34">
            <w:pPr>
              <w:spacing w:line="340" w:lineRule="exact"/>
              <w:jc w:val="left"/>
              <w:rPr>
                <w:rFonts w:hint="eastAsia" w:eastAsia="仿宋_GB2312"/>
                <w:sz w:val="24"/>
              </w:rPr>
            </w:pPr>
            <w:r>
              <w:rPr>
                <w:rFonts w:hint="eastAsia" w:eastAsia="仿宋_GB2312"/>
                <w:sz w:val="24"/>
              </w:rPr>
              <w:t>60%≤满意度&lt;70%记4分，</w:t>
            </w:r>
          </w:p>
          <w:p w14:paraId="5BB55865">
            <w:pPr>
              <w:spacing w:line="340" w:lineRule="exact"/>
              <w:jc w:val="left"/>
              <w:rPr>
                <w:rFonts w:eastAsia="仿宋_GB2312"/>
                <w:sz w:val="24"/>
              </w:rPr>
            </w:pPr>
            <w:r>
              <w:rPr>
                <w:rFonts w:hint="eastAsia" w:eastAsia="仿宋_GB2312"/>
                <w:sz w:val="24"/>
              </w:rPr>
              <w:t>满意度&lt;60%记0分。</w:t>
            </w:r>
          </w:p>
        </w:tc>
      </w:tr>
    </w:tbl>
    <w:p w14:paraId="07B400EF">
      <w:pPr>
        <w:ind w:left="0" w:leftChars="0" w:firstLine="0" w:firstLineChars="0"/>
      </w:pPr>
    </w:p>
    <w:sectPr>
      <w:pgSz w:w="11906" w:h="16838"/>
      <w:pgMar w:top="363" w:right="1800" w:bottom="476"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201C1"/>
    <w:multiLevelType w:val="singleLevel"/>
    <w:tmpl w:val="2D5201C1"/>
    <w:lvl w:ilvl="0" w:tentative="0">
      <w:start w:val="2"/>
      <w:numFmt w:val="chineseCounting"/>
      <w:suff w:val="nothing"/>
      <w:lvlText w:val="（%1）"/>
      <w:lvlJc w:val="left"/>
      <w:pPr>
        <w:ind w:left="-41"/>
      </w:pPr>
      <w:rPr>
        <w:rFonts w:hint="eastAsia"/>
      </w:rPr>
    </w:lvl>
  </w:abstractNum>
  <w:abstractNum w:abstractNumId="1">
    <w:nsid w:val="33BD9735"/>
    <w:multiLevelType w:val="singleLevel"/>
    <w:tmpl w:val="33BD9735"/>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3759DB"/>
    <w:rsid w:val="1FE73A01"/>
    <w:rsid w:val="21CD17AD"/>
    <w:rsid w:val="47EF4992"/>
    <w:rsid w:val="4B270615"/>
    <w:rsid w:val="514754D2"/>
    <w:rsid w:val="55055126"/>
    <w:rsid w:val="61CA33D6"/>
    <w:rsid w:val="7CE3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4">
    <w:name w:val="Body Text First Indent"/>
    <w:basedOn w:val="2"/>
    <w:qFormat/>
    <w:uiPriority w:val="0"/>
    <w:pPr>
      <w:spacing w:after="200"/>
      <w:ind w:firstLine="100" w:firstLineChars="100"/>
      <w:jc w:val="center"/>
    </w:pPr>
    <w:rPr>
      <w:rFonts w:ascii="??_GB2312" w:hAnsi="??_GB2312" w:cs="??_GB2312"/>
      <w:sz w:val="24"/>
    </w:rPr>
  </w:style>
  <w:style w:type="character" w:styleId="7">
    <w:name w:val="Strong"/>
    <w:qFormat/>
    <w:uiPriority w:val="0"/>
    <w:rPr>
      <w:b/>
      <w:bCs/>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2637</Words>
  <Characters>2813</Characters>
  <Lines>0</Lines>
  <Paragraphs>0</Paragraphs>
  <TotalTime>0</TotalTime>
  <ScaleCrop>false</ScaleCrop>
  <LinksUpToDate>false</LinksUpToDate>
  <CharactersWithSpaces>2931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2025-02-26T01:21:00Z</dcterms:created>
  <dc:creator>Administrator</dc:creator>
  <cp:lastModifiedBy>新晃天平职业培训</cp:lastModifiedBy>
  <cp:lastPrinted>2025-03-05T07:44:00Z</cp:lastPrinted>
  <dcterms:modified xsi:type="dcterms:W3CDTF">2025-03-20T09:40:07Z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eyJoZGlkIjoiN2M0YWFkZWNlYTkwMGE1ODc3MzAyNTk5ZjMwMWVmYWIiLCJ1c2VySWQiOiI0NDUxMzAyMDgifQ==</vt:lpwstr>
  </property>
  <property fmtid="{D5CDD505-2E9C-101B-9397-08002B2CF9AE}" pid="4" name="ICV">
    <vt:lpwstr>91DABF95C5654C34944BBF5742D6F0DA_13</vt:lpwstr>
  </property>
</Properties>
</file>